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53CC6" w14:textId="77777777" w:rsidR="00896D8F" w:rsidRPr="009020D6" w:rsidRDefault="00842DD4" w:rsidP="002B1E23">
      <w:pPr>
        <w:pStyle w:val="TrkeBalk"/>
      </w:pPr>
      <w:r w:rsidRPr="009020D6">
        <w:t xml:space="preserve">Türkçe Başlık </w:t>
      </w:r>
    </w:p>
    <w:p w14:paraId="48494110" w14:textId="77777777" w:rsidR="00DB67AE" w:rsidRPr="009020D6" w:rsidRDefault="00842DD4" w:rsidP="00962124">
      <w:pPr>
        <w:pStyle w:val="ngilizceBalk"/>
      </w:pPr>
      <w:r w:rsidRPr="009020D6">
        <w:t>İngilizce Başlık</w:t>
      </w:r>
    </w:p>
    <w:p w14:paraId="3D51CC94" w14:textId="7EE89B04" w:rsidR="00CA3041" w:rsidRPr="009020D6" w:rsidRDefault="000A3E35" w:rsidP="007029D3">
      <w:pPr>
        <w:ind w:right="708" w:firstLine="0"/>
        <w:rPr>
          <w:rFonts w:eastAsiaTheme="majorEastAsia" w:cs="Calibri"/>
          <w:szCs w:val="18"/>
        </w:rPr>
      </w:pPr>
      <w:r w:rsidRPr="009020D6">
        <w:rPr>
          <w:rFonts w:eastAsiaTheme="majorEastAsia" w:cs="Calibri"/>
          <w:szCs w:val="18"/>
        </w:rPr>
        <w:t>Y</w:t>
      </w:r>
      <w:r w:rsidR="00C0213F" w:rsidRPr="009020D6">
        <w:rPr>
          <w:rFonts w:eastAsiaTheme="majorEastAsia" w:cs="Calibri"/>
          <w:szCs w:val="18"/>
        </w:rPr>
        <w:t>azar adı, unvanı, görev yaptığı kurum ve kendisine ulaşılabilecek e-posta adresi gibi bilgilere yer verilmemelidir.</w:t>
      </w:r>
    </w:p>
    <w:p w14:paraId="0622301F" w14:textId="77777777" w:rsidR="00084EC3" w:rsidRPr="009020D6" w:rsidRDefault="00084EC3" w:rsidP="00CA3041">
      <w:pPr>
        <w:pStyle w:val="Balk1"/>
      </w:pPr>
      <w:r w:rsidRPr="009020D6">
        <w:t>ÖZ</w:t>
      </w:r>
    </w:p>
    <w:p w14:paraId="689CCD62" w14:textId="251C3B87" w:rsidR="00842DD4" w:rsidRPr="009020D6" w:rsidRDefault="00084EC3" w:rsidP="00CA3041">
      <w:pPr>
        <w:pStyle w:val="zet"/>
      </w:pPr>
      <w:r w:rsidRPr="009020D6">
        <w:t xml:space="preserve">Bu şablon, </w:t>
      </w:r>
      <w:proofErr w:type="spellStart"/>
      <w:r w:rsidRPr="009020D6">
        <w:t>Journal</w:t>
      </w:r>
      <w:proofErr w:type="spellEnd"/>
      <w:r w:rsidRPr="009020D6">
        <w:t xml:space="preserve"> of </w:t>
      </w:r>
      <w:proofErr w:type="spellStart"/>
      <w:r w:rsidRPr="009020D6">
        <w:t>Academic</w:t>
      </w:r>
      <w:proofErr w:type="spellEnd"/>
      <w:r w:rsidRPr="009020D6">
        <w:t xml:space="preserve"> </w:t>
      </w:r>
      <w:proofErr w:type="spellStart"/>
      <w:r w:rsidRPr="009020D6">
        <w:t>Opinion’a</w:t>
      </w:r>
      <w:proofErr w:type="spellEnd"/>
      <w:r w:rsidRPr="009020D6">
        <w:t xml:space="preserve"> gönderilmek üzere çalışmaların yazım kurallarını içeren şablondur. Bu bölümde çalışmanın yeniliklerini vurgulayan ve ana bulgularını gösteren kısa bir özet verilmelidir. Tüm şablonda </w:t>
      </w:r>
      <w:proofErr w:type="spellStart"/>
      <w:r w:rsidRPr="009020D6">
        <w:t>Sitka</w:t>
      </w:r>
      <w:proofErr w:type="spellEnd"/>
      <w:r w:rsidRPr="009020D6">
        <w:t xml:space="preserve"> </w:t>
      </w:r>
      <w:proofErr w:type="spellStart"/>
      <w:r w:rsidRPr="009020D6">
        <w:t>Display</w:t>
      </w:r>
      <w:proofErr w:type="spellEnd"/>
      <w:r w:rsidRPr="009020D6">
        <w:t xml:space="preserve"> yazı</w:t>
      </w:r>
      <w:r w:rsidR="00966EB4" w:rsidRPr="009020D6">
        <w:t xml:space="preserve"> </w:t>
      </w:r>
      <w:r w:rsidRPr="009020D6">
        <w:t>tipi kullanılmalıdır.</w:t>
      </w:r>
      <w:r w:rsidR="00C20DD2" w:rsidRPr="009020D6">
        <w:t xml:space="preserve"> Özet</w:t>
      </w:r>
      <w:r w:rsidRPr="009020D6">
        <w:t xml:space="preserve"> metn</w:t>
      </w:r>
      <w:r w:rsidR="00966EB4" w:rsidRPr="009020D6">
        <w:t xml:space="preserve">i tek sütun ve </w:t>
      </w:r>
      <w:r w:rsidRPr="009020D6">
        <w:t>iki yana yaslanmalı</w:t>
      </w:r>
      <w:r w:rsidR="00A62E96" w:rsidRPr="009020D6">
        <w:t>dır.</w:t>
      </w:r>
      <w:r w:rsidRPr="009020D6">
        <w:t xml:space="preserve"> </w:t>
      </w:r>
      <w:r w:rsidR="00A62E96" w:rsidRPr="009020D6">
        <w:t xml:space="preserve">Özet metni </w:t>
      </w:r>
      <w:r w:rsidRPr="009020D6">
        <w:t xml:space="preserve">8 </w:t>
      </w:r>
      <w:r w:rsidR="00A62E96" w:rsidRPr="009020D6">
        <w:t>punto büyüklüğünde tek satır aralığında</w:t>
      </w:r>
      <w:r w:rsidR="00C20DD2" w:rsidRPr="009020D6">
        <w:t xml:space="preserve"> ve paragraf önce ve sonrasında sıfır </w:t>
      </w:r>
      <w:proofErr w:type="spellStart"/>
      <w:r w:rsidR="00C20DD2" w:rsidRPr="009020D6">
        <w:t>nk</w:t>
      </w:r>
      <w:proofErr w:type="spellEnd"/>
      <w:r w:rsidR="00C20DD2" w:rsidRPr="009020D6">
        <w:t xml:space="preserve"> aralığında</w:t>
      </w:r>
      <w:r w:rsidR="00A62E96" w:rsidRPr="009020D6">
        <w:t xml:space="preserve"> olmalıdır</w:t>
      </w:r>
      <w:r w:rsidRPr="009020D6">
        <w:t xml:space="preserve">. </w:t>
      </w:r>
      <w:r w:rsidRPr="00F26B2B">
        <w:t>Özet,</w:t>
      </w:r>
      <w:r w:rsidR="00C0213F" w:rsidRPr="00F26B2B">
        <w:t>150</w:t>
      </w:r>
      <w:r w:rsidRPr="00F26B2B">
        <w:t>-300</w:t>
      </w:r>
      <w:r w:rsidRPr="009020D6">
        <w:t xml:space="preserve"> arasında sözcük içermeli ve içerisinde yaygın olmayan kısaltma, alıntı, atıf, denklem, alt indis ya da üst indis içeren ifadeler kullanılmamalıdır. 3 ile 5 ar</w:t>
      </w:r>
      <w:r w:rsidR="00966EB4" w:rsidRPr="009020D6">
        <w:t>asında anahtar sözcük içermelidir</w:t>
      </w:r>
      <w:r w:rsidR="00842DD4" w:rsidRPr="009020D6">
        <w:t>.</w:t>
      </w:r>
    </w:p>
    <w:p w14:paraId="62800450" w14:textId="77777777" w:rsidR="00084EC3" w:rsidRPr="009020D6" w:rsidRDefault="00842DD4" w:rsidP="00CA3041">
      <w:pPr>
        <w:pStyle w:val="zet"/>
        <w:rPr>
          <w:i/>
        </w:rPr>
      </w:pPr>
      <w:r w:rsidRPr="00274D21">
        <w:rPr>
          <w:b/>
        </w:rPr>
        <w:t>Anahtar Kelimeler:</w:t>
      </w:r>
      <w:r w:rsidRPr="009020D6">
        <w:t xml:space="preserve"> </w:t>
      </w:r>
      <w:r w:rsidR="00084EC3" w:rsidRPr="009020D6">
        <w:rPr>
          <w:i/>
        </w:rPr>
        <w:t>Sözcük1, Sözcük2, Sözcük3</w:t>
      </w:r>
    </w:p>
    <w:p w14:paraId="6432577D" w14:textId="77777777" w:rsidR="00842DD4" w:rsidRPr="009020D6" w:rsidRDefault="00842DD4" w:rsidP="00CA3041">
      <w:pPr>
        <w:pStyle w:val="Balk1"/>
      </w:pPr>
      <w:r w:rsidRPr="009020D6">
        <w:t>ABSTRACT</w:t>
      </w:r>
    </w:p>
    <w:p w14:paraId="7A533BDC" w14:textId="0FCA25E2" w:rsidR="00842DD4" w:rsidRPr="009020D6" w:rsidRDefault="00084EC3" w:rsidP="00CA3041">
      <w:pPr>
        <w:pStyle w:val="zet"/>
      </w:pPr>
      <w:proofErr w:type="spellStart"/>
      <w:r w:rsidRPr="009020D6">
        <w:t>This</w:t>
      </w:r>
      <w:proofErr w:type="spellEnd"/>
      <w:r w:rsidRPr="009020D6">
        <w:t xml:space="preserve"> </w:t>
      </w:r>
      <w:proofErr w:type="spellStart"/>
      <w:r w:rsidRPr="009020D6">
        <w:t>template</w:t>
      </w:r>
      <w:proofErr w:type="spellEnd"/>
      <w:r w:rsidRPr="009020D6">
        <w:t xml:space="preserve"> is </w:t>
      </w:r>
      <w:proofErr w:type="spellStart"/>
      <w:r w:rsidRPr="009020D6">
        <w:t>the</w:t>
      </w:r>
      <w:proofErr w:type="spellEnd"/>
      <w:r w:rsidRPr="009020D6">
        <w:t xml:space="preserve"> </w:t>
      </w:r>
      <w:proofErr w:type="spellStart"/>
      <w:r w:rsidRPr="009020D6">
        <w:t>template</w:t>
      </w:r>
      <w:proofErr w:type="spellEnd"/>
      <w:r w:rsidRPr="009020D6">
        <w:t xml:space="preserve"> </w:t>
      </w:r>
      <w:proofErr w:type="spellStart"/>
      <w:r w:rsidRPr="009020D6">
        <w:t>that</w:t>
      </w:r>
      <w:proofErr w:type="spellEnd"/>
      <w:r w:rsidRPr="009020D6">
        <w:t xml:space="preserve"> </w:t>
      </w:r>
      <w:proofErr w:type="spellStart"/>
      <w:r w:rsidRPr="009020D6">
        <w:t>contains</w:t>
      </w:r>
      <w:proofErr w:type="spellEnd"/>
      <w:r w:rsidRPr="009020D6">
        <w:t xml:space="preserve"> </w:t>
      </w:r>
      <w:proofErr w:type="spellStart"/>
      <w:r w:rsidRPr="009020D6">
        <w:t>the</w:t>
      </w:r>
      <w:proofErr w:type="spellEnd"/>
      <w:r w:rsidRPr="009020D6">
        <w:t xml:space="preserve"> </w:t>
      </w:r>
      <w:proofErr w:type="spellStart"/>
      <w:r w:rsidRPr="009020D6">
        <w:t>spelling</w:t>
      </w:r>
      <w:proofErr w:type="spellEnd"/>
      <w:r w:rsidRPr="009020D6">
        <w:t xml:space="preserve"> </w:t>
      </w:r>
      <w:proofErr w:type="spellStart"/>
      <w:r w:rsidRPr="009020D6">
        <w:t>rules</w:t>
      </w:r>
      <w:proofErr w:type="spellEnd"/>
      <w:r w:rsidRPr="009020D6">
        <w:t xml:space="preserve"> of </w:t>
      </w:r>
      <w:proofErr w:type="spellStart"/>
      <w:r w:rsidRPr="009020D6">
        <w:t>the</w:t>
      </w:r>
      <w:proofErr w:type="spellEnd"/>
      <w:r w:rsidRPr="009020D6">
        <w:t xml:space="preserve"> </w:t>
      </w:r>
      <w:proofErr w:type="spellStart"/>
      <w:r w:rsidRPr="009020D6">
        <w:t>studies</w:t>
      </w:r>
      <w:proofErr w:type="spellEnd"/>
      <w:r w:rsidRPr="009020D6">
        <w:t xml:space="preserve"> </w:t>
      </w:r>
      <w:proofErr w:type="spellStart"/>
      <w:r w:rsidRPr="009020D6">
        <w:t>to</w:t>
      </w:r>
      <w:proofErr w:type="spellEnd"/>
      <w:r w:rsidRPr="009020D6">
        <w:t xml:space="preserve"> be </w:t>
      </w:r>
      <w:proofErr w:type="spellStart"/>
      <w:r w:rsidRPr="009020D6">
        <w:t>submitted</w:t>
      </w:r>
      <w:proofErr w:type="spellEnd"/>
      <w:r w:rsidRPr="009020D6">
        <w:t xml:space="preserve"> </w:t>
      </w:r>
      <w:proofErr w:type="spellStart"/>
      <w:r w:rsidRPr="009020D6">
        <w:t>to</w:t>
      </w:r>
      <w:proofErr w:type="spellEnd"/>
      <w:r w:rsidRPr="009020D6">
        <w:t xml:space="preserve"> </w:t>
      </w:r>
      <w:proofErr w:type="spellStart"/>
      <w:r w:rsidRPr="009020D6">
        <w:t>the</w:t>
      </w:r>
      <w:proofErr w:type="spellEnd"/>
      <w:r w:rsidRPr="009020D6">
        <w:t xml:space="preserve"> </w:t>
      </w:r>
      <w:proofErr w:type="spellStart"/>
      <w:r w:rsidRPr="009020D6">
        <w:t>Journal</w:t>
      </w:r>
      <w:proofErr w:type="spellEnd"/>
      <w:r w:rsidRPr="009020D6">
        <w:t xml:space="preserve"> of </w:t>
      </w:r>
      <w:proofErr w:type="spellStart"/>
      <w:r w:rsidRPr="009020D6">
        <w:t>Academic</w:t>
      </w:r>
      <w:proofErr w:type="spellEnd"/>
      <w:r w:rsidRPr="009020D6">
        <w:t xml:space="preserve"> </w:t>
      </w:r>
      <w:proofErr w:type="spellStart"/>
      <w:r w:rsidRPr="009020D6">
        <w:t>Opinion</w:t>
      </w:r>
      <w:proofErr w:type="spellEnd"/>
      <w:r w:rsidRPr="009020D6">
        <w:t xml:space="preserve">. </w:t>
      </w:r>
      <w:proofErr w:type="spellStart"/>
      <w:r w:rsidRPr="009020D6">
        <w:t>This</w:t>
      </w:r>
      <w:proofErr w:type="spellEnd"/>
      <w:r w:rsidRPr="009020D6">
        <w:t xml:space="preserve"> </w:t>
      </w:r>
      <w:proofErr w:type="spellStart"/>
      <w:r w:rsidRPr="009020D6">
        <w:t>section</w:t>
      </w:r>
      <w:proofErr w:type="spellEnd"/>
      <w:r w:rsidRPr="009020D6">
        <w:t xml:space="preserve"> </w:t>
      </w:r>
      <w:proofErr w:type="spellStart"/>
      <w:r w:rsidRPr="009020D6">
        <w:t>should</w:t>
      </w:r>
      <w:proofErr w:type="spellEnd"/>
      <w:r w:rsidRPr="009020D6">
        <w:t xml:space="preserve"> </w:t>
      </w:r>
      <w:proofErr w:type="spellStart"/>
      <w:r w:rsidRPr="009020D6">
        <w:t>provide</w:t>
      </w:r>
      <w:proofErr w:type="spellEnd"/>
      <w:r w:rsidRPr="009020D6">
        <w:t xml:space="preserve"> a </w:t>
      </w:r>
      <w:proofErr w:type="spellStart"/>
      <w:r w:rsidRPr="009020D6">
        <w:t>brief</w:t>
      </w:r>
      <w:proofErr w:type="spellEnd"/>
      <w:r w:rsidRPr="009020D6">
        <w:t xml:space="preserve"> </w:t>
      </w:r>
      <w:proofErr w:type="spellStart"/>
      <w:r w:rsidRPr="009020D6">
        <w:t>summary</w:t>
      </w:r>
      <w:proofErr w:type="spellEnd"/>
      <w:r w:rsidRPr="009020D6">
        <w:t xml:space="preserve"> </w:t>
      </w:r>
      <w:proofErr w:type="spellStart"/>
      <w:r w:rsidRPr="009020D6">
        <w:t>highlighting</w:t>
      </w:r>
      <w:proofErr w:type="spellEnd"/>
      <w:r w:rsidRPr="009020D6">
        <w:t xml:space="preserve"> </w:t>
      </w:r>
      <w:proofErr w:type="spellStart"/>
      <w:r w:rsidRPr="009020D6">
        <w:t>the</w:t>
      </w:r>
      <w:proofErr w:type="spellEnd"/>
      <w:r w:rsidRPr="009020D6">
        <w:t xml:space="preserve"> </w:t>
      </w:r>
      <w:proofErr w:type="spellStart"/>
      <w:r w:rsidRPr="009020D6">
        <w:t>innovations</w:t>
      </w:r>
      <w:proofErr w:type="spellEnd"/>
      <w:r w:rsidRPr="009020D6">
        <w:t xml:space="preserve"> of </w:t>
      </w:r>
      <w:proofErr w:type="spellStart"/>
      <w:r w:rsidRPr="009020D6">
        <w:t>the</w:t>
      </w:r>
      <w:proofErr w:type="spellEnd"/>
      <w:r w:rsidRPr="009020D6">
        <w:t xml:space="preserve"> </w:t>
      </w:r>
      <w:proofErr w:type="spellStart"/>
      <w:r w:rsidRPr="009020D6">
        <w:t>study</w:t>
      </w:r>
      <w:proofErr w:type="spellEnd"/>
      <w:r w:rsidRPr="009020D6">
        <w:t xml:space="preserve"> </w:t>
      </w:r>
      <w:proofErr w:type="spellStart"/>
      <w:r w:rsidRPr="009020D6">
        <w:t>and</w:t>
      </w:r>
      <w:proofErr w:type="spellEnd"/>
      <w:r w:rsidRPr="009020D6">
        <w:t xml:space="preserve"> </w:t>
      </w:r>
      <w:proofErr w:type="spellStart"/>
      <w:r w:rsidRPr="009020D6">
        <w:t>illustrating</w:t>
      </w:r>
      <w:proofErr w:type="spellEnd"/>
      <w:r w:rsidRPr="009020D6">
        <w:t xml:space="preserve"> </w:t>
      </w:r>
      <w:proofErr w:type="spellStart"/>
      <w:r w:rsidRPr="009020D6">
        <w:t>its</w:t>
      </w:r>
      <w:proofErr w:type="spellEnd"/>
      <w:r w:rsidRPr="009020D6">
        <w:t xml:space="preserve"> main </w:t>
      </w:r>
      <w:proofErr w:type="spellStart"/>
      <w:r w:rsidRPr="009020D6">
        <w:t>findings</w:t>
      </w:r>
      <w:proofErr w:type="spellEnd"/>
      <w:r w:rsidRPr="009020D6">
        <w:t xml:space="preserve">. </w:t>
      </w:r>
      <w:proofErr w:type="spellStart"/>
      <w:r w:rsidRPr="009020D6">
        <w:t>Sitka</w:t>
      </w:r>
      <w:proofErr w:type="spellEnd"/>
      <w:r w:rsidRPr="009020D6">
        <w:t xml:space="preserve"> </w:t>
      </w:r>
      <w:proofErr w:type="spellStart"/>
      <w:r w:rsidRPr="009020D6">
        <w:t>Display</w:t>
      </w:r>
      <w:proofErr w:type="spellEnd"/>
      <w:r w:rsidRPr="009020D6">
        <w:t xml:space="preserve"> font </w:t>
      </w:r>
      <w:proofErr w:type="spellStart"/>
      <w:r w:rsidRPr="009020D6">
        <w:t>must</w:t>
      </w:r>
      <w:proofErr w:type="spellEnd"/>
      <w:r w:rsidRPr="009020D6">
        <w:t xml:space="preserve"> be </w:t>
      </w:r>
      <w:proofErr w:type="spellStart"/>
      <w:r w:rsidRPr="009020D6">
        <w:t>used</w:t>
      </w:r>
      <w:proofErr w:type="spellEnd"/>
      <w:r w:rsidRPr="009020D6">
        <w:t xml:space="preserve"> in </w:t>
      </w:r>
      <w:proofErr w:type="spellStart"/>
      <w:r w:rsidRPr="009020D6">
        <w:t>the</w:t>
      </w:r>
      <w:proofErr w:type="spellEnd"/>
      <w:r w:rsidRPr="009020D6">
        <w:t xml:space="preserve"> </w:t>
      </w:r>
      <w:proofErr w:type="spellStart"/>
      <w:r w:rsidRPr="009020D6">
        <w:t>entire</w:t>
      </w:r>
      <w:proofErr w:type="spellEnd"/>
      <w:r w:rsidRPr="009020D6">
        <w:t xml:space="preserve"> </w:t>
      </w:r>
      <w:proofErr w:type="spellStart"/>
      <w:r w:rsidRPr="009020D6">
        <w:t>template</w:t>
      </w:r>
      <w:proofErr w:type="spellEnd"/>
      <w:r w:rsidRPr="009020D6">
        <w:t xml:space="preserve">. </w:t>
      </w:r>
      <w:proofErr w:type="spellStart"/>
      <w:r w:rsidRPr="009020D6">
        <w:t>The</w:t>
      </w:r>
      <w:proofErr w:type="spellEnd"/>
      <w:r w:rsidRPr="009020D6">
        <w:t xml:space="preserve"> </w:t>
      </w:r>
      <w:proofErr w:type="spellStart"/>
      <w:r w:rsidRPr="009020D6">
        <w:t>abstract</w:t>
      </w:r>
      <w:proofErr w:type="spellEnd"/>
      <w:r w:rsidRPr="009020D6">
        <w:t xml:space="preserve"> </w:t>
      </w:r>
      <w:proofErr w:type="spellStart"/>
      <w:r w:rsidRPr="009020D6">
        <w:t>text</w:t>
      </w:r>
      <w:proofErr w:type="spellEnd"/>
      <w:r w:rsidRPr="009020D6">
        <w:t xml:space="preserve"> </w:t>
      </w:r>
      <w:proofErr w:type="spellStart"/>
      <w:r w:rsidRPr="009020D6">
        <w:t>should</w:t>
      </w:r>
      <w:proofErr w:type="spellEnd"/>
      <w:r w:rsidRPr="009020D6">
        <w:t xml:space="preserve"> be </w:t>
      </w:r>
      <w:proofErr w:type="spellStart"/>
      <w:r w:rsidRPr="009020D6">
        <w:t>justified</w:t>
      </w:r>
      <w:proofErr w:type="spellEnd"/>
      <w:r w:rsidRPr="009020D6">
        <w:t xml:space="preserve"> </w:t>
      </w:r>
      <w:proofErr w:type="spellStart"/>
      <w:r w:rsidRPr="009020D6">
        <w:t>and</w:t>
      </w:r>
      <w:proofErr w:type="spellEnd"/>
      <w:r w:rsidRPr="009020D6">
        <w:t xml:space="preserve"> </w:t>
      </w:r>
      <w:proofErr w:type="spellStart"/>
      <w:r w:rsidRPr="009020D6">
        <w:t>should</w:t>
      </w:r>
      <w:proofErr w:type="spellEnd"/>
      <w:r w:rsidRPr="009020D6">
        <w:t xml:space="preserve"> be 8 </w:t>
      </w:r>
      <w:proofErr w:type="spellStart"/>
      <w:r w:rsidRPr="009020D6">
        <w:t>points</w:t>
      </w:r>
      <w:proofErr w:type="spellEnd"/>
      <w:r w:rsidRPr="009020D6">
        <w:t xml:space="preserve">. </w:t>
      </w:r>
      <w:proofErr w:type="spellStart"/>
      <w:r w:rsidRPr="009020D6">
        <w:t>The</w:t>
      </w:r>
      <w:proofErr w:type="spellEnd"/>
      <w:r w:rsidRPr="009020D6">
        <w:t xml:space="preserve"> </w:t>
      </w:r>
      <w:proofErr w:type="spellStart"/>
      <w:r w:rsidRPr="009020D6">
        <w:t>abstract</w:t>
      </w:r>
      <w:proofErr w:type="spellEnd"/>
      <w:r w:rsidRPr="009020D6">
        <w:t xml:space="preserve"> </w:t>
      </w:r>
      <w:proofErr w:type="spellStart"/>
      <w:r w:rsidRPr="009020D6">
        <w:t>should</w:t>
      </w:r>
      <w:proofErr w:type="spellEnd"/>
      <w:r w:rsidRPr="009020D6">
        <w:t xml:space="preserve"> </w:t>
      </w:r>
      <w:proofErr w:type="spellStart"/>
      <w:r w:rsidRPr="009020D6">
        <w:t>contain</w:t>
      </w:r>
      <w:proofErr w:type="spellEnd"/>
      <w:r w:rsidRPr="009020D6">
        <w:t xml:space="preserve"> </w:t>
      </w:r>
      <w:proofErr w:type="spellStart"/>
      <w:r w:rsidRPr="009020D6">
        <w:t>between</w:t>
      </w:r>
      <w:proofErr w:type="spellEnd"/>
      <w:r w:rsidRPr="009020D6">
        <w:t xml:space="preserve"> </w:t>
      </w:r>
      <w:r w:rsidR="00C0213F" w:rsidRPr="009020D6">
        <w:t>150</w:t>
      </w:r>
      <w:r w:rsidRPr="009020D6">
        <w:t xml:space="preserve">-300 </w:t>
      </w:r>
      <w:proofErr w:type="spellStart"/>
      <w:r w:rsidRPr="009020D6">
        <w:t>words</w:t>
      </w:r>
      <w:proofErr w:type="spellEnd"/>
      <w:r w:rsidRPr="009020D6">
        <w:t xml:space="preserve"> </w:t>
      </w:r>
      <w:proofErr w:type="spellStart"/>
      <w:r w:rsidRPr="009020D6">
        <w:t>and</w:t>
      </w:r>
      <w:proofErr w:type="spellEnd"/>
      <w:r w:rsidRPr="009020D6">
        <w:t xml:space="preserve"> </w:t>
      </w:r>
      <w:proofErr w:type="spellStart"/>
      <w:r w:rsidRPr="009020D6">
        <w:t>expressions</w:t>
      </w:r>
      <w:proofErr w:type="spellEnd"/>
      <w:r w:rsidRPr="009020D6">
        <w:t xml:space="preserve"> </w:t>
      </w:r>
      <w:proofErr w:type="spellStart"/>
      <w:r w:rsidRPr="009020D6">
        <w:t>containing</w:t>
      </w:r>
      <w:proofErr w:type="spellEnd"/>
      <w:r w:rsidRPr="009020D6">
        <w:t xml:space="preserve"> </w:t>
      </w:r>
      <w:proofErr w:type="spellStart"/>
      <w:r w:rsidRPr="009020D6">
        <w:t>uncommon</w:t>
      </w:r>
      <w:proofErr w:type="spellEnd"/>
      <w:r w:rsidRPr="009020D6">
        <w:t xml:space="preserve"> </w:t>
      </w:r>
      <w:proofErr w:type="spellStart"/>
      <w:r w:rsidRPr="009020D6">
        <w:t>abbreviations</w:t>
      </w:r>
      <w:proofErr w:type="spellEnd"/>
      <w:r w:rsidRPr="009020D6">
        <w:t xml:space="preserve">, </w:t>
      </w:r>
      <w:proofErr w:type="spellStart"/>
      <w:r w:rsidRPr="009020D6">
        <w:t>quotations</w:t>
      </w:r>
      <w:proofErr w:type="spellEnd"/>
      <w:r w:rsidRPr="009020D6">
        <w:t xml:space="preserve">, </w:t>
      </w:r>
      <w:proofErr w:type="spellStart"/>
      <w:r w:rsidRPr="009020D6">
        <w:t>citations</w:t>
      </w:r>
      <w:proofErr w:type="spellEnd"/>
      <w:r w:rsidRPr="009020D6">
        <w:t xml:space="preserve">, </w:t>
      </w:r>
      <w:proofErr w:type="spellStart"/>
      <w:r w:rsidRPr="009020D6">
        <w:t>equations</w:t>
      </w:r>
      <w:proofErr w:type="spellEnd"/>
      <w:r w:rsidRPr="009020D6">
        <w:t xml:space="preserve">, </w:t>
      </w:r>
      <w:proofErr w:type="spellStart"/>
      <w:r w:rsidRPr="009020D6">
        <w:t>subscripts</w:t>
      </w:r>
      <w:proofErr w:type="spellEnd"/>
      <w:r w:rsidRPr="009020D6">
        <w:t xml:space="preserve"> </w:t>
      </w:r>
      <w:proofErr w:type="spellStart"/>
      <w:r w:rsidRPr="009020D6">
        <w:t>or</w:t>
      </w:r>
      <w:proofErr w:type="spellEnd"/>
      <w:r w:rsidRPr="009020D6">
        <w:t xml:space="preserve"> </w:t>
      </w:r>
      <w:proofErr w:type="spellStart"/>
      <w:r w:rsidRPr="009020D6">
        <w:t>superscripts</w:t>
      </w:r>
      <w:proofErr w:type="spellEnd"/>
      <w:r w:rsidRPr="009020D6">
        <w:t xml:space="preserve"> </w:t>
      </w:r>
      <w:proofErr w:type="spellStart"/>
      <w:r w:rsidRPr="009020D6">
        <w:t>should</w:t>
      </w:r>
      <w:proofErr w:type="spellEnd"/>
      <w:r w:rsidRPr="009020D6">
        <w:t xml:space="preserve"> not be </w:t>
      </w:r>
      <w:proofErr w:type="spellStart"/>
      <w:r w:rsidRPr="009020D6">
        <w:t>used</w:t>
      </w:r>
      <w:proofErr w:type="spellEnd"/>
      <w:r w:rsidRPr="009020D6">
        <w:t xml:space="preserve">. </w:t>
      </w:r>
      <w:proofErr w:type="spellStart"/>
      <w:r w:rsidRPr="009020D6">
        <w:t>It</w:t>
      </w:r>
      <w:proofErr w:type="spellEnd"/>
      <w:r w:rsidRPr="009020D6">
        <w:t xml:space="preserve"> </w:t>
      </w:r>
      <w:proofErr w:type="spellStart"/>
      <w:r w:rsidR="00966EB4" w:rsidRPr="009020D6">
        <w:t>should</w:t>
      </w:r>
      <w:proofErr w:type="spellEnd"/>
      <w:r w:rsidRPr="009020D6">
        <w:t xml:space="preserve"> </w:t>
      </w:r>
      <w:proofErr w:type="spellStart"/>
      <w:r w:rsidRPr="009020D6">
        <w:t>c</w:t>
      </w:r>
      <w:r w:rsidR="00966EB4" w:rsidRPr="009020D6">
        <w:t>ontain</w:t>
      </w:r>
      <w:proofErr w:type="spellEnd"/>
      <w:r w:rsidR="00966EB4" w:rsidRPr="009020D6">
        <w:t xml:space="preserve"> </w:t>
      </w:r>
      <w:proofErr w:type="spellStart"/>
      <w:r w:rsidR="00966EB4" w:rsidRPr="009020D6">
        <w:t>between</w:t>
      </w:r>
      <w:proofErr w:type="spellEnd"/>
      <w:r w:rsidR="00966EB4" w:rsidRPr="009020D6">
        <w:t xml:space="preserve"> 3 </w:t>
      </w:r>
      <w:proofErr w:type="spellStart"/>
      <w:r w:rsidR="00966EB4" w:rsidRPr="009020D6">
        <w:t>and</w:t>
      </w:r>
      <w:proofErr w:type="spellEnd"/>
      <w:r w:rsidR="00966EB4" w:rsidRPr="009020D6">
        <w:t xml:space="preserve"> 5 </w:t>
      </w:r>
      <w:proofErr w:type="spellStart"/>
      <w:r w:rsidR="00966EB4" w:rsidRPr="009020D6">
        <w:t>keywords</w:t>
      </w:r>
      <w:proofErr w:type="spellEnd"/>
      <w:r w:rsidRPr="009020D6">
        <w:t>.</w:t>
      </w:r>
      <w:r w:rsidR="00966EB4" w:rsidRPr="009020D6">
        <w:t xml:space="preserve"> </w:t>
      </w:r>
    </w:p>
    <w:p w14:paraId="662C64E0" w14:textId="77777777" w:rsidR="003E68BD" w:rsidRPr="009020D6" w:rsidRDefault="00084EC3" w:rsidP="00CA3041">
      <w:pPr>
        <w:pStyle w:val="zet"/>
        <w:rPr>
          <w:i/>
        </w:rPr>
      </w:pPr>
      <w:proofErr w:type="spellStart"/>
      <w:r w:rsidRPr="00274D21">
        <w:rPr>
          <w:b/>
        </w:rPr>
        <w:t>Keywords</w:t>
      </w:r>
      <w:proofErr w:type="spellEnd"/>
      <w:r w:rsidRPr="00274D21">
        <w:rPr>
          <w:b/>
        </w:rPr>
        <w:t>:</w:t>
      </w:r>
      <w:r w:rsidRPr="009020D6">
        <w:t xml:space="preserve"> </w:t>
      </w:r>
      <w:r w:rsidRPr="009020D6">
        <w:rPr>
          <w:i/>
        </w:rPr>
        <w:t>Word1, Word2, Word3</w:t>
      </w:r>
    </w:p>
    <w:p w14:paraId="5026CC40" w14:textId="77777777" w:rsidR="003E68BD" w:rsidRPr="009020D6" w:rsidRDefault="003E68BD" w:rsidP="00962124">
      <w:pPr>
        <w:ind w:right="708" w:firstLine="0"/>
        <w:rPr>
          <w:rFonts w:eastAsiaTheme="majorEastAsia" w:cs="Calibri"/>
          <w:color w:val="000000" w:themeColor="text1"/>
          <w:sz w:val="16"/>
          <w:szCs w:val="16"/>
        </w:rPr>
        <w:sectPr w:rsidR="003E68BD" w:rsidRPr="009020D6" w:rsidSect="003E68BD">
          <w:headerReference w:type="default" r:id="rId8"/>
          <w:type w:val="continuous"/>
          <w:pgSz w:w="11906" w:h="16838"/>
          <w:pgMar w:top="1134" w:right="851" w:bottom="1134" w:left="851" w:header="709" w:footer="709" w:gutter="0"/>
          <w:cols w:space="708"/>
          <w:titlePg/>
          <w:docGrid w:linePitch="360"/>
        </w:sectPr>
      </w:pPr>
    </w:p>
    <w:p w14:paraId="7B769C25" w14:textId="77777777" w:rsidR="00916E18" w:rsidRPr="009020D6" w:rsidRDefault="00916E18" w:rsidP="00962124">
      <w:pPr>
        <w:spacing w:before="360" w:after="240"/>
        <w:ind w:firstLine="0"/>
        <w:rPr>
          <w:rFonts w:cs="Nirmala UI Semilight"/>
          <w:b/>
        </w:rPr>
        <w:sectPr w:rsidR="00916E18" w:rsidRPr="009020D6" w:rsidSect="003E68BD">
          <w:type w:val="continuous"/>
          <w:pgSz w:w="11906" w:h="16838"/>
          <w:pgMar w:top="1134" w:right="851" w:bottom="1134" w:left="851" w:header="709" w:footer="709" w:gutter="0"/>
          <w:cols w:num="2" w:space="284"/>
          <w:docGrid w:linePitch="360"/>
        </w:sectPr>
      </w:pPr>
    </w:p>
    <w:p w14:paraId="10514309" w14:textId="62FA0C50" w:rsidR="00916E18" w:rsidRPr="009020D6" w:rsidRDefault="00084EC3" w:rsidP="00D550EB">
      <w:pPr>
        <w:pStyle w:val="Balk1"/>
      </w:pPr>
      <w:r w:rsidRPr="009020D6">
        <w:t xml:space="preserve">1. </w:t>
      </w:r>
      <w:r w:rsidR="00A62E96" w:rsidRPr="009020D6">
        <w:t xml:space="preserve">Genel </w:t>
      </w:r>
      <w:r w:rsidR="00AB2062" w:rsidRPr="009020D6">
        <w:t>Yazım K</w:t>
      </w:r>
      <w:r w:rsidR="00D220DC" w:rsidRPr="009020D6">
        <w:t>uralları</w:t>
      </w:r>
    </w:p>
    <w:p w14:paraId="18857309" w14:textId="4CFE97FC" w:rsidR="002B1024" w:rsidRPr="009020D6" w:rsidRDefault="002B1024" w:rsidP="00EC3A68">
      <w:r w:rsidRPr="009020D6">
        <w:t xml:space="preserve">Dergi yazım yönergesinde belirtilen tüm kurallara uyulması gerekmektedir. Aksi durumda çalışma değerlendirmeye alınmadan </w:t>
      </w:r>
      <w:r w:rsidR="00565F11" w:rsidRPr="009020D6">
        <w:t>yazar(</w:t>
      </w:r>
      <w:proofErr w:type="spellStart"/>
      <w:r w:rsidR="00565F11" w:rsidRPr="009020D6">
        <w:t>lar</w:t>
      </w:r>
      <w:proofErr w:type="spellEnd"/>
      <w:r w:rsidR="00565F11" w:rsidRPr="009020D6">
        <w:t xml:space="preserve">)a </w:t>
      </w:r>
      <w:r w:rsidRPr="009020D6">
        <w:t xml:space="preserve">geri gönderilecektir. </w:t>
      </w:r>
    </w:p>
    <w:p w14:paraId="7DD01D41" w14:textId="347F78FD" w:rsidR="00BD24E5" w:rsidRPr="009020D6" w:rsidRDefault="00C0213F" w:rsidP="00962124">
      <w:r w:rsidRPr="009020D6">
        <w:t>Çalışmalarda</w:t>
      </w:r>
      <w:r w:rsidR="002B1024" w:rsidRPr="009020D6">
        <w:t xml:space="preserve"> kelime sayısı sadece nicel araştırmaya dayanan </w:t>
      </w:r>
      <w:r w:rsidR="00CE4D9A" w:rsidRPr="009020D6">
        <w:t>çalışmalar</w:t>
      </w:r>
      <w:r w:rsidR="002B1024" w:rsidRPr="009020D6">
        <w:t xml:space="preserve"> için 4000’den </w:t>
      </w:r>
      <w:r w:rsidR="00CE4D9A" w:rsidRPr="009020D6">
        <w:t>diğer alanlarda yazılan çalışmala</w:t>
      </w:r>
      <w:r w:rsidR="002B1024" w:rsidRPr="009020D6">
        <w:t xml:space="preserve">r için </w:t>
      </w:r>
      <w:r w:rsidR="00CE4D9A" w:rsidRPr="009020D6">
        <w:t>ise 5000’den az olmamalı; çalışmada</w:t>
      </w:r>
      <w:r w:rsidR="002B1024" w:rsidRPr="009020D6">
        <w:t xml:space="preserve"> Öz/</w:t>
      </w:r>
      <w:proofErr w:type="spellStart"/>
      <w:r w:rsidR="002B1024" w:rsidRPr="009020D6">
        <w:t>Abstract</w:t>
      </w:r>
      <w:proofErr w:type="spellEnd"/>
      <w:r w:rsidR="002B1024" w:rsidRPr="009020D6">
        <w:t xml:space="preserve"> ve kaynakça dâhil 25 sayfayı geçmemelidir. </w:t>
      </w:r>
      <w:r w:rsidR="00565F11" w:rsidRPr="009020D6">
        <w:t xml:space="preserve">Yazı dili Türkçe olan çalışmalara </w:t>
      </w:r>
      <w:r w:rsidR="002B1024" w:rsidRPr="009020D6">
        <w:t>İngilizce ‘</w:t>
      </w:r>
      <w:proofErr w:type="spellStart"/>
      <w:r w:rsidR="002B1024" w:rsidRPr="009020D6">
        <w:t>Abstract</w:t>
      </w:r>
      <w:proofErr w:type="spellEnd"/>
      <w:r w:rsidR="002B1024" w:rsidRPr="009020D6">
        <w:t>’ kon</w:t>
      </w:r>
      <w:r w:rsidR="00565F11" w:rsidRPr="009020D6">
        <w:t>ul</w:t>
      </w:r>
      <w:r w:rsidR="002B1024" w:rsidRPr="009020D6">
        <w:t xml:space="preserve">malıdır. </w:t>
      </w:r>
      <w:r w:rsidR="00565F11" w:rsidRPr="009020D6">
        <w:t xml:space="preserve">Öz, </w:t>
      </w:r>
      <w:r w:rsidR="002B1024" w:rsidRPr="009020D6">
        <w:t xml:space="preserve">en az üç anahtar kelime ile toplam </w:t>
      </w:r>
      <w:r w:rsidRPr="009020D6">
        <w:t>150</w:t>
      </w:r>
      <w:r w:rsidR="002B1024" w:rsidRPr="009020D6">
        <w:t xml:space="preserve">-300 kelime arasında uzunlukta olmalıdır. </w:t>
      </w:r>
    </w:p>
    <w:p w14:paraId="529ACDAD" w14:textId="5EEC60EF" w:rsidR="00C0213F" w:rsidRPr="009020D6" w:rsidRDefault="00CE4D9A" w:rsidP="00962124">
      <w:r w:rsidRPr="009020D6">
        <w:t>Türkçe çalışmaları</w:t>
      </w:r>
      <w:r w:rsidR="002B1024" w:rsidRPr="009020D6">
        <w:t>n yazımında, noktalamasında ve kısaltmalarda TDK Yazım Kılavuzu’nun en son baskısı esas alınır.</w:t>
      </w:r>
      <w:r w:rsidR="00D220DC" w:rsidRPr="009020D6">
        <w:t xml:space="preserve"> </w:t>
      </w:r>
      <w:r w:rsidR="00C0213F" w:rsidRPr="009020D6">
        <w:t>Çalışmalar MS Word 2007 ve daha üzeri</w:t>
      </w:r>
      <w:r w:rsidR="00554993" w:rsidRPr="009020D6">
        <w:t xml:space="preserve"> sürümdeki Word programı ile yazılmalıdır</w:t>
      </w:r>
      <w:r w:rsidR="003E68BD" w:rsidRPr="009020D6">
        <w:t>.</w:t>
      </w:r>
    </w:p>
    <w:p w14:paraId="17D14289" w14:textId="2FAB51F0" w:rsidR="00A62E96" w:rsidRPr="00D157F1" w:rsidRDefault="00565F11" w:rsidP="00CE4D9A">
      <w:pPr>
        <w:pStyle w:val="Balk2"/>
        <w:numPr>
          <w:ilvl w:val="1"/>
          <w:numId w:val="4"/>
        </w:numPr>
        <w:rPr>
          <w:b/>
        </w:rPr>
      </w:pPr>
      <w:r w:rsidRPr="00D157F1">
        <w:rPr>
          <w:b/>
        </w:rPr>
        <w:t>Sayfa D</w:t>
      </w:r>
      <w:r w:rsidR="00D220DC" w:rsidRPr="00D157F1">
        <w:rPr>
          <w:b/>
        </w:rPr>
        <w:t>üzeni</w:t>
      </w:r>
    </w:p>
    <w:p w14:paraId="51F24FB2" w14:textId="4B35AF4A" w:rsidR="003E68BD" w:rsidRPr="009020D6" w:rsidRDefault="00A62E96" w:rsidP="00EC3A68">
      <w:r w:rsidRPr="009020D6">
        <w:t>A4 boyutunda (29.7×21 cm.) kâğıt</w:t>
      </w:r>
      <w:r w:rsidR="00BD24E5" w:rsidRPr="009020D6">
        <w:t xml:space="preserve">lara, , sayfa kenarlarında 4 cm boşluk bırakılmalıdır. </w:t>
      </w:r>
      <w:r w:rsidR="00937646" w:rsidRPr="009020D6">
        <w:t>Sayfa yapısı; üstten 2,5 cm, alttan 2,5 cm, soldan 1,75 cm, sağdan 1,75 cm, olmalıdır. Giriş yazısından itibaren iki sütun sayfa düzeninde</w:t>
      </w:r>
      <w:r w:rsidR="00870731" w:rsidRPr="009020D6">
        <w:t>,</w:t>
      </w:r>
      <w:r w:rsidR="00937646" w:rsidRPr="009020D6">
        <w:t xml:space="preserve"> sütunlar arasında</w:t>
      </w:r>
      <w:r w:rsidR="00870731" w:rsidRPr="009020D6">
        <w:t xml:space="preserve"> 0,5 cm boşluk olmalıdır.</w:t>
      </w:r>
    </w:p>
    <w:p w14:paraId="57E835E8" w14:textId="34C9FA59" w:rsidR="002B1E23" w:rsidRPr="00D157F1" w:rsidRDefault="002B1E23" w:rsidP="002B1E23">
      <w:pPr>
        <w:pStyle w:val="Balk3"/>
        <w:rPr>
          <w:b/>
        </w:rPr>
      </w:pPr>
      <w:r w:rsidRPr="00D157F1">
        <w:rPr>
          <w:b/>
        </w:rPr>
        <w:t>1.1.2</w:t>
      </w:r>
      <w:r w:rsidR="00BD24E5" w:rsidRPr="00D157F1">
        <w:rPr>
          <w:b/>
        </w:rPr>
        <w:t>.</w:t>
      </w:r>
      <w:r w:rsidRPr="00D157F1">
        <w:rPr>
          <w:b/>
        </w:rPr>
        <w:t xml:space="preserve"> </w:t>
      </w:r>
      <w:r w:rsidR="00CE4D9A" w:rsidRPr="00D157F1">
        <w:rPr>
          <w:b/>
        </w:rPr>
        <w:t>Başlık</w:t>
      </w:r>
    </w:p>
    <w:p w14:paraId="0268E1BF" w14:textId="3884772D" w:rsidR="002B1E23" w:rsidRPr="009020D6" w:rsidRDefault="00565F11" w:rsidP="002B1E23">
      <w:r w:rsidRPr="009020D6">
        <w:t xml:space="preserve">Yazı dili Türkçe olan çalışmalar </w:t>
      </w:r>
      <w:r w:rsidR="002B1E23" w:rsidRPr="009020D6">
        <w:t xml:space="preserve">için İngilizce başlık; </w:t>
      </w:r>
      <w:r w:rsidRPr="009020D6">
        <w:t>yazı dili İngilizce olan çalışmalar</w:t>
      </w:r>
      <w:r w:rsidR="002B1E23" w:rsidRPr="009020D6">
        <w:t xml:space="preserve"> için Türkçe başlık eklenmelidir.</w:t>
      </w:r>
      <w:r w:rsidR="00962124" w:rsidRPr="009020D6">
        <w:t xml:space="preserve"> </w:t>
      </w:r>
      <w:r w:rsidR="00CE4D9A" w:rsidRPr="009020D6">
        <w:t>Çalışmanın</w:t>
      </w:r>
      <w:r w:rsidR="00BD24E5" w:rsidRPr="009020D6">
        <w:t xml:space="preserve"> başlığında her </w:t>
      </w:r>
      <w:r w:rsidR="00962124" w:rsidRPr="009020D6">
        <w:t>sözcüğün ilk harfi büyük yazılmalıdır.</w:t>
      </w:r>
      <w:r w:rsidR="002B1E23" w:rsidRPr="009020D6">
        <w:t xml:space="preserve"> </w:t>
      </w:r>
      <w:r w:rsidR="00CE4D9A" w:rsidRPr="009020D6">
        <w:t>Çalışma</w:t>
      </w:r>
      <w:r w:rsidR="002B1E23" w:rsidRPr="009020D6">
        <w:t xml:space="preserve"> dilindeki başlık </w:t>
      </w:r>
      <w:proofErr w:type="spellStart"/>
      <w:r w:rsidR="002B1E23" w:rsidRPr="009020D6">
        <w:rPr>
          <w:rFonts w:cs="Nirmala UI Semilight"/>
          <w:szCs w:val="18"/>
        </w:rPr>
        <w:t>Sitka</w:t>
      </w:r>
      <w:proofErr w:type="spellEnd"/>
      <w:r w:rsidR="002B1E23" w:rsidRPr="009020D6">
        <w:rPr>
          <w:rFonts w:cs="Nirmala UI Semilight"/>
          <w:szCs w:val="18"/>
        </w:rPr>
        <w:t xml:space="preserve"> </w:t>
      </w:r>
      <w:proofErr w:type="spellStart"/>
      <w:r w:rsidR="002B1E23" w:rsidRPr="009020D6">
        <w:rPr>
          <w:rFonts w:cs="Nirmala UI Semilight"/>
          <w:szCs w:val="18"/>
        </w:rPr>
        <w:t>Display</w:t>
      </w:r>
      <w:proofErr w:type="spellEnd"/>
      <w:r w:rsidR="002B1E23" w:rsidRPr="009020D6">
        <w:rPr>
          <w:rFonts w:cs="Nirmala UI Semilight"/>
          <w:szCs w:val="18"/>
        </w:rPr>
        <w:t xml:space="preserve"> yazı tipi 14 punto, normal, tek satır aralığında, sola yaslı, paragraf aralığı önce 0 </w:t>
      </w:r>
      <w:proofErr w:type="spellStart"/>
      <w:r w:rsidR="002B1E23" w:rsidRPr="009020D6">
        <w:rPr>
          <w:rFonts w:cs="Nirmala UI Semilight"/>
          <w:szCs w:val="18"/>
        </w:rPr>
        <w:t>nk</w:t>
      </w:r>
      <w:proofErr w:type="spellEnd"/>
      <w:r w:rsidR="002B1E23" w:rsidRPr="009020D6">
        <w:rPr>
          <w:rFonts w:cs="Nirmala UI Semilight"/>
          <w:szCs w:val="18"/>
        </w:rPr>
        <w:t xml:space="preserve"> sonra 6 </w:t>
      </w:r>
      <w:proofErr w:type="spellStart"/>
      <w:r w:rsidR="002B1E23" w:rsidRPr="009020D6">
        <w:rPr>
          <w:rFonts w:cs="Nirmala UI Semilight"/>
          <w:szCs w:val="18"/>
        </w:rPr>
        <w:t>nk</w:t>
      </w:r>
      <w:proofErr w:type="spellEnd"/>
      <w:r w:rsidR="002B1E23" w:rsidRPr="009020D6">
        <w:rPr>
          <w:rFonts w:cs="Nirmala UI Semilight"/>
          <w:szCs w:val="18"/>
        </w:rPr>
        <w:t xml:space="preserve"> olmalıdır. Diğer dildeki başlık </w:t>
      </w:r>
      <w:proofErr w:type="spellStart"/>
      <w:r w:rsidR="002B1E23" w:rsidRPr="009020D6">
        <w:rPr>
          <w:rFonts w:cs="Nirmala UI Semilight"/>
          <w:szCs w:val="18"/>
        </w:rPr>
        <w:t>Sitka</w:t>
      </w:r>
      <w:proofErr w:type="spellEnd"/>
      <w:r w:rsidR="002B1E23" w:rsidRPr="009020D6">
        <w:rPr>
          <w:rFonts w:cs="Nirmala UI Semilight"/>
          <w:szCs w:val="18"/>
        </w:rPr>
        <w:t xml:space="preserve"> </w:t>
      </w:r>
      <w:proofErr w:type="spellStart"/>
      <w:r w:rsidR="002B1E23" w:rsidRPr="009020D6">
        <w:rPr>
          <w:rFonts w:cs="Nirmala UI Semilight"/>
          <w:szCs w:val="18"/>
        </w:rPr>
        <w:t>Display</w:t>
      </w:r>
      <w:proofErr w:type="spellEnd"/>
      <w:r w:rsidR="002B1E23" w:rsidRPr="009020D6">
        <w:rPr>
          <w:rFonts w:cs="Nirmala UI Semilight"/>
          <w:szCs w:val="18"/>
        </w:rPr>
        <w:t xml:space="preserve"> yazı tipi 12 punto, italik, tek satır aralığında, sola yaslı, paragraf aralığı önce 0 </w:t>
      </w:r>
      <w:proofErr w:type="spellStart"/>
      <w:r w:rsidR="002B1E23" w:rsidRPr="009020D6">
        <w:rPr>
          <w:rFonts w:cs="Nirmala UI Semilight"/>
          <w:szCs w:val="18"/>
        </w:rPr>
        <w:t>nk</w:t>
      </w:r>
      <w:proofErr w:type="spellEnd"/>
      <w:r w:rsidR="002B1E23" w:rsidRPr="009020D6">
        <w:rPr>
          <w:rFonts w:cs="Nirmala UI Semilight"/>
          <w:szCs w:val="18"/>
        </w:rPr>
        <w:t xml:space="preserve"> sonra 6 </w:t>
      </w:r>
      <w:proofErr w:type="spellStart"/>
      <w:r w:rsidR="002B1E23" w:rsidRPr="009020D6">
        <w:rPr>
          <w:rFonts w:cs="Nirmala UI Semilight"/>
          <w:szCs w:val="18"/>
        </w:rPr>
        <w:t>nk</w:t>
      </w:r>
      <w:proofErr w:type="spellEnd"/>
      <w:r w:rsidR="002B1E23" w:rsidRPr="009020D6">
        <w:rPr>
          <w:rFonts w:cs="Nirmala UI Semilight"/>
          <w:szCs w:val="18"/>
        </w:rPr>
        <w:t xml:space="preserve"> olmalıdır.</w:t>
      </w:r>
    </w:p>
    <w:p w14:paraId="0CA91569" w14:textId="0849E6E4" w:rsidR="00870731" w:rsidRPr="009020D6" w:rsidRDefault="00870731" w:rsidP="00D550EB">
      <w:pPr>
        <w:pStyle w:val="Balk3"/>
        <w:rPr>
          <w:b/>
        </w:rPr>
      </w:pPr>
      <w:r w:rsidRPr="009020D6">
        <w:rPr>
          <w:b/>
        </w:rPr>
        <w:t>1.1.</w:t>
      </w:r>
      <w:r w:rsidR="002B1E23" w:rsidRPr="009020D6">
        <w:rPr>
          <w:b/>
        </w:rPr>
        <w:t>2</w:t>
      </w:r>
      <w:r w:rsidR="00BD24E5" w:rsidRPr="009020D6">
        <w:rPr>
          <w:b/>
        </w:rPr>
        <w:t xml:space="preserve">. </w:t>
      </w:r>
      <w:r w:rsidRPr="009020D6">
        <w:rPr>
          <w:b/>
        </w:rPr>
        <w:t xml:space="preserve"> </w:t>
      </w:r>
      <w:r w:rsidR="00D220DC" w:rsidRPr="009020D6">
        <w:rPr>
          <w:b/>
        </w:rPr>
        <w:t xml:space="preserve">Bölüm </w:t>
      </w:r>
      <w:r w:rsidRPr="009020D6">
        <w:rPr>
          <w:b/>
        </w:rPr>
        <w:t>Başlıklar</w:t>
      </w:r>
      <w:r w:rsidR="00D220DC" w:rsidRPr="009020D6">
        <w:rPr>
          <w:b/>
        </w:rPr>
        <w:t>ı</w:t>
      </w:r>
    </w:p>
    <w:p w14:paraId="4DA71964" w14:textId="1B009CD9" w:rsidR="00D220DC" w:rsidRPr="009020D6" w:rsidRDefault="00916E18" w:rsidP="00EC3A68">
      <w:r w:rsidRPr="009020D6">
        <w:t xml:space="preserve">Giriş </w:t>
      </w:r>
      <w:r w:rsidR="00D17FC7" w:rsidRPr="009020D6">
        <w:t>dâhil</w:t>
      </w:r>
      <w:r w:rsidR="00BD24E5" w:rsidRPr="009020D6">
        <w:t xml:space="preserve"> k</w:t>
      </w:r>
      <w:r w:rsidRPr="009020D6">
        <w:t xml:space="preserve">aynakça hariç başlıklara numara verilmelidir. </w:t>
      </w:r>
    </w:p>
    <w:p w14:paraId="1E85DD4C" w14:textId="77777777" w:rsidR="002B1024" w:rsidRPr="009020D6" w:rsidRDefault="00D220DC" w:rsidP="00D220DC">
      <w:pPr>
        <w:pStyle w:val="ListeParagraf"/>
        <w:numPr>
          <w:ilvl w:val="0"/>
          <w:numId w:val="2"/>
        </w:numPr>
        <w:ind w:left="284" w:hanging="284"/>
        <w:rPr>
          <w:rFonts w:cs="Nirmala UI Semilight"/>
          <w:szCs w:val="18"/>
        </w:rPr>
      </w:pPr>
      <w:r w:rsidRPr="009020D6">
        <w:rPr>
          <w:rFonts w:cs="Nirmala UI Semilight"/>
          <w:szCs w:val="18"/>
          <w:u w:val="single"/>
        </w:rPr>
        <w:t>1. d</w:t>
      </w:r>
      <w:r w:rsidR="00916E18" w:rsidRPr="009020D6">
        <w:rPr>
          <w:rFonts w:cs="Nirmala UI Semilight"/>
          <w:szCs w:val="18"/>
          <w:u w:val="single"/>
        </w:rPr>
        <w:t>üzey başlıklar</w:t>
      </w:r>
      <w:r w:rsidR="00916E18" w:rsidRPr="009020D6">
        <w:rPr>
          <w:rFonts w:cs="Nirmala UI Semilight"/>
          <w:szCs w:val="18"/>
        </w:rPr>
        <w:t xml:space="preserve"> </w:t>
      </w:r>
      <w:proofErr w:type="spellStart"/>
      <w:r w:rsidR="00916E18" w:rsidRPr="009020D6">
        <w:rPr>
          <w:rFonts w:cs="Nirmala UI Semilight"/>
          <w:szCs w:val="18"/>
        </w:rPr>
        <w:t>Sitka</w:t>
      </w:r>
      <w:proofErr w:type="spellEnd"/>
      <w:r w:rsidR="00916E18" w:rsidRPr="009020D6">
        <w:rPr>
          <w:rFonts w:cs="Nirmala UI Semilight"/>
          <w:szCs w:val="18"/>
        </w:rPr>
        <w:t xml:space="preserve"> </w:t>
      </w:r>
      <w:proofErr w:type="spellStart"/>
      <w:r w:rsidR="00916E18" w:rsidRPr="009020D6">
        <w:rPr>
          <w:rFonts w:cs="Nirmala UI Semilight"/>
          <w:szCs w:val="18"/>
        </w:rPr>
        <w:t>Display</w:t>
      </w:r>
      <w:proofErr w:type="spellEnd"/>
      <w:r w:rsidR="00916E18" w:rsidRPr="009020D6">
        <w:rPr>
          <w:rFonts w:cs="Nirmala UI Semilight"/>
          <w:szCs w:val="18"/>
        </w:rPr>
        <w:t xml:space="preserve"> </w:t>
      </w:r>
      <w:r w:rsidRPr="009020D6">
        <w:rPr>
          <w:rFonts w:cs="Nirmala UI Semilight"/>
          <w:szCs w:val="18"/>
        </w:rPr>
        <w:t xml:space="preserve">yazı tipi 10 punto </w:t>
      </w:r>
      <w:r w:rsidRPr="009020D6">
        <w:rPr>
          <w:rFonts w:cs="Nirmala UI Semilight"/>
          <w:b/>
          <w:szCs w:val="18"/>
        </w:rPr>
        <w:t xml:space="preserve">kalın </w:t>
      </w:r>
      <w:r w:rsidRPr="009020D6">
        <w:rPr>
          <w:rFonts w:cs="Nirmala UI Semilight"/>
          <w:szCs w:val="18"/>
        </w:rPr>
        <w:t xml:space="preserve">tek satır aralığında, paragraf aralığı önce ve sonra </w:t>
      </w:r>
      <w:r w:rsidR="00EC3A68" w:rsidRPr="009020D6">
        <w:rPr>
          <w:rFonts w:cs="Nirmala UI Semilight"/>
          <w:szCs w:val="18"/>
        </w:rPr>
        <w:t>6</w:t>
      </w:r>
      <w:r w:rsidRPr="009020D6">
        <w:rPr>
          <w:rFonts w:cs="Nirmala UI Semilight"/>
          <w:szCs w:val="18"/>
        </w:rPr>
        <w:t xml:space="preserve"> </w:t>
      </w:r>
      <w:proofErr w:type="spellStart"/>
      <w:r w:rsidRPr="009020D6">
        <w:rPr>
          <w:rFonts w:cs="Nirmala UI Semilight"/>
          <w:szCs w:val="18"/>
        </w:rPr>
        <w:t>nk</w:t>
      </w:r>
      <w:proofErr w:type="spellEnd"/>
      <w:r w:rsidRPr="009020D6">
        <w:rPr>
          <w:rFonts w:cs="Nirmala UI Semilight"/>
          <w:szCs w:val="18"/>
        </w:rPr>
        <w:t xml:space="preserve"> olmalıdır.</w:t>
      </w:r>
    </w:p>
    <w:p w14:paraId="10877E36" w14:textId="425B947E" w:rsidR="00D220DC" w:rsidRPr="009020D6" w:rsidRDefault="00D220DC" w:rsidP="00D220DC">
      <w:pPr>
        <w:pStyle w:val="ListeParagraf"/>
        <w:numPr>
          <w:ilvl w:val="0"/>
          <w:numId w:val="2"/>
        </w:numPr>
        <w:ind w:left="284" w:hanging="284"/>
        <w:rPr>
          <w:rFonts w:cs="Nirmala UI Semilight"/>
          <w:szCs w:val="18"/>
        </w:rPr>
      </w:pPr>
      <w:r w:rsidRPr="009020D6">
        <w:rPr>
          <w:rFonts w:cs="Nirmala UI Semilight"/>
          <w:szCs w:val="18"/>
          <w:u w:val="single"/>
        </w:rPr>
        <w:t>2. ve 3. düzey başlıklar</w:t>
      </w:r>
      <w:r w:rsidR="00D17FC7" w:rsidRPr="009020D6">
        <w:rPr>
          <w:rFonts w:cs="Nirmala UI Semilight"/>
          <w:szCs w:val="18"/>
        </w:rPr>
        <w:t xml:space="preserve"> </w:t>
      </w:r>
      <w:proofErr w:type="spellStart"/>
      <w:r w:rsidR="00D17FC7" w:rsidRPr="009020D6">
        <w:rPr>
          <w:rFonts w:cs="Nirmala UI Semilight"/>
          <w:szCs w:val="18"/>
        </w:rPr>
        <w:t>Sitka</w:t>
      </w:r>
      <w:proofErr w:type="spellEnd"/>
      <w:r w:rsidR="00D17FC7" w:rsidRPr="009020D6">
        <w:rPr>
          <w:rFonts w:cs="Nirmala UI Semilight"/>
          <w:szCs w:val="18"/>
        </w:rPr>
        <w:t xml:space="preserve"> </w:t>
      </w:r>
      <w:proofErr w:type="spellStart"/>
      <w:r w:rsidR="00D17FC7" w:rsidRPr="009020D6">
        <w:rPr>
          <w:rFonts w:cs="Nirmala UI Semilight"/>
          <w:szCs w:val="18"/>
        </w:rPr>
        <w:t>Display</w:t>
      </w:r>
      <w:proofErr w:type="spellEnd"/>
      <w:r w:rsidR="00D17FC7" w:rsidRPr="009020D6">
        <w:rPr>
          <w:rFonts w:cs="Nirmala UI Semilight"/>
          <w:szCs w:val="18"/>
        </w:rPr>
        <w:t xml:space="preserve"> yazı tipi 9</w:t>
      </w:r>
      <w:r w:rsidRPr="009020D6">
        <w:rPr>
          <w:rFonts w:cs="Nirmala UI Semilight"/>
          <w:szCs w:val="18"/>
        </w:rPr>
        <w:t xml:space="preserve"> punto</w:t>
      </w:r>
      <w:r w:rsidR="007F2F4C" w:rsidRPr="009020D6">
        <w:rPr>
          <w:rFonts w:cs="Nirmala UI Semilight"/>
          <w:szCs w:val="18"/>
        </w:rPr>
        <w:t xml:space="preserve"> </w:t>
      </w:r>
      <w:r w:rsidR="007F2F4C" w:rsidRPr="009020D6">
        <w:rPr>
          <w:rFonts w:cs="Nirmala UI Semilight"/>
          <w:b/>
          <w:i/>
          <w:szCs w:val="18"/>
        </w:rPr>
        <w:t>kalın</w:t>
      </w:r>
      <w:r w:rsidRPr="009020D6">
        <w:rPr>
          <w:rFonts w:cs="Nirmala UI Semilight"/>
          <w:b/>
          <w:i/>
          <w:szCs w:val="18"/>
        </w:rPr>
        <w:t xml:space="preserve"> italik</w:t>
      </w:r>
      <w:r w:rsidRPr="009020D6">
        <w:rPr>
          <w:rFonts w:cs="Nirmala UI Semilight"/>
          <w:szCs w:val="18"/>
        </w:rPr>
        <w:t xml:space="preserve"> tek satır aralığında, paragraf aralığı önce 6 </w:t>
      </w:r>
      <w:proofErr w:type="spellStart"/>
      <w:r w:rsidRPr="009020D6">
        <w:rPr>
          <w:rFonts w:cs="Nirmala UI Semilight"/>
          <w:szCs w:val="18"/>
        </w:rPr>
        <w:t>nk</w:t>
      </w:r>
      <w:proofErr w:type="spellEnd"/>
      <w:r w:rsidRPr="009020D6">
        <w:rPr>
          <w:rFonts w:cs="Nirmala UI Semilight"/>
          <w:szCs w:val="18"/>
        </w:rPr>
        <w:t xml:space="preserve"> ve sonra 6 </w:t>
      </w:r>
      <w:proofErr w:type="spellStart"/>
      <w:r w:rsidRPr="009020D6">
        <w:rPr>
          <w:rFonts w:cs="Nirmala UI Semilight"/>
          <w:szCs w:val="18"/>
        </w:rPr>
        <w:t>nk</w:t>
      </w:r>
      <w:proofErr w:type="spellEnd"/>
      <w:r w:rsidRPr="009020D6">
        <w:rPr>
          <w:rFonts w:cs="Nirmala UI Semilight"/>
          <w:szCs w:val="18"/>
        </w:rPr>
        <w:t xml:space="preserve"> olmalıdır.</w:t>
      </w:r>
    </w:p>
    <w:p w14:paraId="390189AD" w14:textId="69FD2482" w:rsidR="00D220DC" w:rsidRPr="009020D6" w:rsidRDefault="00D550EB" w:rsidP="00D550EB">
      <w:pPr>
        <w:pStyle w:val="Balk1"/>
      </w:pPr>
      <w:r w:rsidRPr="009020D6">
        <w:t>2.</w:t>
      </w:r>
      <w:r w:rsidR="00D220DC" w:rsidRPr="009020D6">
        <w:t xml:space="preserve"> Ana </w:t>
      </w:r>
      <w:r w:rsidR="00AB2062" w:rsidRPr="009020D6">
        <w:t>M</w:t>
      </w:r>
      <w:r w:rsidR="00D220DC" w:rsidRPr="009020D6">
        <w:t>etin</w:t>
      </w:r>
    </w:p>
    <w:p w14:paraId="0B0B8433" w14:textId="77777777" w:rsidR="00D220DC" w:rsidRPr="009020D6" w:rsidRDefault="00D550EB" w:rsidP="00D220DC">
      <w:pPr>
        <w:ind w:firstLine="284"/>
        <w:rPr>
          <w:rFonts w:cs="Nirmala UI Semilight"/>
          <w:szCs w:val="18"/>
        </w:rPr>
      </w:pPr>
      <w:r w:rsidRPr="009020D6">
        <w:rPr>
          <w:rFonts w:cs="Nirmala UI Semilight"/>
          <w:szCs w:val="18"/>
        </w:rPr>
        <w:t>Gövde metin</w:t>
      </w:r>
      <w:r w:rsidR="00EC3A68" w:rsidRPr="009020D6">
        <w:t xml:space="preserve"> iki tarafa yaslı ilk satır 0,4 cm girintili, </w:t>
      </w:r>
      <w:proofErr w:type="spellStart"/>
      <w:r w:rsidR="00D220DC" w:rsidRPr="009020D6">
        <w:t>Sitka</w:t>
      </w:r>
      <w:proofErr w:type="spellEnd"/>
      <w:r w:rsidR="00D220DC" w:rsidRPr="009020D6">
        <w:t xml:space="preserve"> </w:t>
      </w:r>
      <w:proofErr w:type="spellStart"/>
      <w:r w:rsidR="00D220DC" w:rsidRPr="009020D6">
        <w:t>Display</w:t>
      </w:r>
      <w:proofErr w:type="spellEnd"/>
      <w:r w:rsidR="00D220DC" w:rsidRPr="009020D6">
        <w:t xml:space="preserve"> yazı tipi 9</w:t>
      </w:r>
      <w:r w:rsidR="00D220DC" w:rsidRPr="009020D6">
        <w:rPr>
          <w:rFonts w:cs="Nirmala UI Semilight"/>
          <w:szCs w:val="18"/>
        </w:rPr>
        <w:t xml:space="preserve"> punto normal, tek satır aralığında, paragraf aralığı önce </w:t>
      </w:r>
      <w:r w:rsidR="00EC3A68" w:rsidRPr="009020D6">
        <w:rPr>
          <w:rFonts w:cs="Nirmala UI Semilight"/>
          <w:szCs w:val="18"/>
        </w:rPr>
        <w:t xml:space="preserve">ve sonra sıfır(0) </w:t>
      </w:r>
      <w:proofErr w:type="spellStart"/>
      <w:r w:rsidR="00EC3A68" w:rsidRPr="009020D6">
        <w:rPr>
          <w:rFonts w:cs="Nirmala UI Semilight"/>
          <w:szCs w:val="18"/>
        </w:rPr>
        <w:t>nk</w:t>
      </w:r>
      <w:proofErr w:type="spellEnd"/>
      <w:r w:rsidR="00D220DC" w:rsidRPr="009020D6">
        <w:rPr>
          <w:rFonts w:cs="Nirmala UI Semilight"/>
          <w:szCs w:val="18"/>
        </w:rPr>
        <w:t xml:space="preserve"> olmalıdır.</w:t>
      </w:r>
    </w:p>
    <w:p w14:paraId="53DB3D8B" w14:textId="77777777" w:rsidR="00D550EB" w:rsidRPr="00D157F1" w:rsidRDefault="00D550EB" w:rsidP="00D550EB">
      <w:pPr>
        <w:pStyle w:val="Balk2"/>
        <w:rPr>
          <w:b/>
          <w:szCs w:val="18"/>
        </w:rPr>
      </w:pPr>
      <w:r w:rsidRPr="00D157F1">
        <w:rPr>
          <w:b/>
          <w:szCs w:val="18"/>
        </w:rPr>
        <w:t xml:space="preserve">2.1.1. </w:t>
      </w:r>
      <w:r w:rsidR="00EC3A68" w:rsidRPr="00D157F1">
        <w:rPr>
          <w:b/>
          <w:szCs w:val="18"/>
        </w:rPr>
        <w:t>Tablolar</w:t>
      </w:r>
      <w:r w:rsidRPr="00D157F1">
        <w:rPr>
          <w:b/>
          <w:szCs w:val="18"/>
        </w:rPr>
        <w:t xml:space="preserve">, </w:t>
      </w:r>
      <w:r w:rsidR="00EC3A68" w:rsidRPr="00D157F1">
        <w:rPr>
          <w:b/>
          <w:szCs w:val="18"/>
        </w:rPr>
        <w:t xml:space="preserve"> </w:t>
      </w:r>
      <w:r w:rsidR="00252625" w:rsidRPr="00D157F1">
        <w:rPr>
          <w:b/>
          <w:szCs w:val="18"/>
        </w:rPr>
        <w:t>ş</w:t>
      </w:r>
      <w:r w:rsidR="00EC3A68" w:rsidRPr="00D157F1">
        <w:rPr>
          <w:b/>
          <w:szCs w:val="18"/>
        </w:rPr>
        <w:t>ekiller</w:t>
      </w:r>
      <w:r w:rsidRPr="00D157F1">
        <w:rPr>
          <w:b/>
          <w:szCs w:val="18"/>
        </w:rPr>
        <w:t xml:space="preserve"> ve </w:t>
      </w:r>
      <w:r w:rsidR="00252625" w:rsidRPr="00D157F1">
        <w:rPr>
          <w:b/>
          <w:szCs w:val="18"/>
        </w:rPr>
        <w:t>g</w:t>
      </w:r>
      <w:r w:rsidRPr="00D157F1">
        <w:rPr>
          <w:b/>
          <w:szCs w:val="18"/>
        </w:rPr>
        <w:t>rafikler</w:t>
      </w:r>
    </w:p>
    <w:p w14:paraId="1CD4CCFF" w14:textId="77777777" w:rsidR="00D550EB" w:rsidRPr="009020D6" w:rsidRDefault="00D550EB" w:rsidP="00D550EB">
      <w:r w:rsidRPr="009020D6">
        <w:t xml:space="preserve">Bir tablo örneği Tablo 1’de verilmiştir. Kullanım amacına göre değişik bazı tablolar da kullanılabilir. Tablo başlığı, tablonun üstünde yer almalıdır. Tablo Başlığı için bu şablonun </w:t>
      </w:r>
      <w:r w:rsidR="00CA3041" w:rsidRPr="009020D6">
        <w:t xml:space="preserve">stil galerisinde </w:t>
      </w:r>
      <w:r w:rsidRPr="009020D6">
        <w:t>“</w:t>
      </w:r>
      <w:r w:rsidR="00DB67AE" w:rsidRPr="009020D6">
        <w:t>Tablo Şekil Grafik Başlığı</w:t>
      </w:r>
      <w:r w:rsidRPr="009020D6">
        <w:t>” ismiyle tanımlanmış stil kullanılmalıdır.</w:t>
      </w:r>
      <w:r w:rsidR="00DB67AE" w:rsidRPr="009020D6">
        <w:t xml:space="preserve"> Tablo adı tablo numaralandırmasının alt satırında </w:t>
      </w:r>
      <w:r w:rsidR="00CA3041" w:rsidRPr="009020D6">
        <w:t xml:space="preserve">stil galerisinde </w:t>
      </w:r>
      <w:r w:rsidR="00DB67AE" w:rsidRPr="009020D6">
        <w:t>“Tablo Şekil Grafik Adı” ismiyle tanımlanmış stil kullanılmalıdır. Tablo</w:t>
      </w:r>
      <w:r w:rsidR="00CA3041" w:rsidRPr="009020D6">
        <w:t xml:space="preserve"> için verilen yazım kuralları</w:t>
      </w:r>
      <w:r w:rsidR="00DB67AE" w:rsidRPr="009020D6">
        <w:t xml:space="preserve"> şekiller ve grafikler içinde geçerlidir.</w:t>
      </w:r>
    </w:p>
    <w:p w14:paraId="2AC921C3" w14:textId="77777777" w:rsidR="00D550EB" w:rsidRPr="009020D6" w:rsidRDefault="00D550EB" w:rsidP="00814D9E">
      <w:pPr>
        <w:pStyle w:val="Balk4"/>
      </w:pPr>
      <w:r w:rsidRPr="009020D6">
        <w:t>Tablo 1</w:t>
      </w:r>
    </w:p>
    <w:p w14:paraId="0121087D" w14:textId="77777777" w:rsidR="00D550EB" w:rsidRPr="00422898" w:rsidRDefault="00DB67AE" w:rsidP="00814D9E">
      <w:pPr>
        <w:pStyle w:val="KonuBal"/>
        <w:rPr>
          <w:bCs/>
          <w:szCs w:val="18"/>
        </w:rPr>
      </w:pPr>
      <w:r w:rsidRPr="00422898">
        <w:rPr>
          <w:bCs/>
          <w:szCs w:val="18"/>
        </w:rPr>
        <w:t xml:space="preserve">Bir tablo örneği (tek sütun </w:t>
      </w:r>
      <w:r w:rsidR="00CA3041" w:rsidRPr="00422898">
        <w:rPr>
          <w:bCs/>
          <w:szCs w:val="18"/>
        </w:rPr>
        <w:t>genişliğinde</w:t>
      </w:r>
      <w:r w:rsidRPr="00422898">
        <w:rPr>
          <w:bCs/>
          <w:szCs w:val="18"/>
        </w:rPr>
        <w:t>)</w:t>
      </w:r>
    </w:p>
    <w:tbl>
      <w:tblPr>
        <w:tblW w:w="4820"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firstRow="1" w:lastRow="0" w:firstColumn="1" w:lastColumn="0" w:noHBand="0" w:noVBand="0"/>
      </w:tblPr>
      <w:tblGrid>
        <w:gridCol w:w="851"/>
        <w:gridCol w:w="850"/>
        <w:gridCol w:w="1134"/>
        <w:gridCol w:w="993"/>
        <w:gridCol w:w="992"/>
      </w:tblGrid>
      <w:tr w:rsidR="00814D9E" w:rsidRPr="009020D6" w14:paraId="499D70EA" w14:textId="77777777" w:rsidTr="00814D9E">
        <w:trPr>
          <w:trHeight w:val="210"/>
        </w:trPr>
        <w:tc>
          <w:tcPr>
            <w:tcW w:w="851" w:type="dxa"/>
            <w:tcBorders>
              <w:top w:val="single" w:sz="6" w:space="0" w:color="000000"/>
              <w:left w:val="nil"/>
              <w:bottom w:val="single" w:sz="6" w:space="0" w:color="000000"/>
              <w:right w:val="nil"/>
            </w:tcBorders>
            <w:shd w:val="clear" w:color="auto" w:fill="FFFFFF"/>
          </w:tcPr>
          <w:p w14:paraId="6B4F644C" w14:textId="77777777" w:rsidR="00814D9E" w:rsidRPr="009020D6" w:rsidRDefault="00814D9E" w:rsidP="00814D9E">
            <w:pPr>
              <w:ind w:firstLine="0"/>
              <w:rPr>
                <w:sz w:val="16"/>
                <w:szCs w:val="16"/>
              </w:rPr>
            </w:pPr>
            <w:r w:rsidRPr="009020D6">
              <w:rPr>
                <w:sz w:val="16"/>
                <w:szCs w:val="16"/>
              </w:rPr>
              <w:t>1. Sütun</w:t>
            </w:r>
          </w:p>
        </w:tc>
        <w:tc>
          <w:tcPr>
            <w:tcW w:w="850" w:type="dxa"/>
            <w:tcBorders>
              <w:top w:val="single" w:sz="6" w:space="0" w:color="000000"/>
              <w:left w:val="nil"/>
              <w:bottom w:val="single" w:sz="6" w:space="0" w:color="000000"/>
              <w:right w:val="nil"/>
            </w:tcBorders>
            <w:shd w:val="clear" w:color="auto" w:fill="FFFFFF"/>
          </w:tcPr>
          <w:p w14:paraId="5FC79CFD" w14:textId="77777777" w:rsidR="00814D9E" w:rsidRPr="009020D6" w:rsidRDefault="00814D9E" w:rsidP="00814D9E">
            <w:pPr>
              <w:ind w:firstLine="0"/>
              <w:rPr>
                <w:sz w:val="16"/>
                <w:szCs w:val="16"/>
              </w:rPr>
            </w:pPr>
            <w:r w:rsidRPr="009020D6">
              <w:rPr>
                <w:sz w:val="16"/>
                <w:szCs w:val="16"/>
              </w:rPr>
              <w:t>2. Sütun</w:t>
            </w:r>
          </w:p>
        </w:tc>
        <w:tc>
          <w:tcPr>
            <w:tcW w:w="1134" w:type="dxa"/>
            <w:tcBorders>
              <w:top w:val="single" w:sz="6" w:space="0" w:color="000000"/>
              <w:left w:val="nil"/>
              <w:bottom w:val="single" w:sz="6" w:space="0" w:color="000000"/>
              <w:right w:val="nil"/>
            </w:tcBorders>
            <w:shd w:val="clear" w:color="auto" w:fill="FFFFFF"/>
          </w:tcPr>
          <w:p w14:paraId="07DE7227" w14:textId="77777777" w:rsidR="00814D9E" w:rsidRPr="009020D6" w:rsidRDefault="00814D9E" w:rsidP="00814D9E">
            <w:pPr>
              <w:rPr>
                <w:sz w:val="16"/>
                <w:szCs w:val="16"/>
              </w:rPr>
            </w:pPr>
            <w:r w:rsidRPr="009020D6">
              <w:rPr>
                <w:sz w:val="16"/>
                <w:szCs w:val="16"/>
              </w:rPr>
              <w:t>3. Sütun</w:t>
            </w:r>
          </w:p>
        </w:tc>
        <w:tc>
          <w:tcPr>
            <w:tcW w:w="993" w:type="dxa"/>
            <w:tcBorders>
              <w:top w:val="single" w:sz="6" w:space="0" w:color="000000"/>
              <w:left w:val="nil"/>
              <w:bottom w:val="single" w:sz="6" w:space="0" w:color="000000"/>
              <w:right w:val="nil"/>
            </w:tcBorders>
            <w:shd w:val="clear" w:color="auto" w:fill="FFFFFF"/>
          </w:tcPr>
          <w:p w14:paraId="7BCDE648" w14:textId="77777777" w:rsidR="00814D9E" w:rsidRPr="009020D6" w:rsidRDefault="00814D9E" w:rsidP="00814D9E">
            <w:pPr>
              <w:ind w:firstLine="0"/>
              <w:rPr>
                <w:sz w:val="16"/>
                <w:szCs w:val="16"/>
              </w:rPr>
            </w:pPr>
            <w:r w:rsidRPr="009020D6">
              <w:rPr>
                <w:sz w:val="16"/>
                <w:szCs w:val="16"/>
              </w:rPr>
              <w:t>4. Sütun</w:t>
            </w:r>
          </w:p>
        </w:tc>
        <w:tc>
          <w:tcPr>
            <w:tcW w:w="992" w:type="dxa"/>
            <w:tcBorders>
              <w:top w:val="single" w:sz="6" w:space="0" w:color="000000"/>
              <w:left w:val="nil"/>
              <w:bottom w:val="single" w:sz="6" w:space="0" w:color="000000"/>
              <w:right w:val="nil"/>
            </w:tcBorders>
            <w:shd w:val="clear" w:color="auto" w:fill="FFFFFF"/>
          </w:tcPr>
          <w:p w14:paraId="25084721" w14:textId="77777777" w:rsidR="00814D9E" w:rsidRPr="009020D6" w:rsidRDefault="00814D9E" w:rsidP="00814D9E">
            <w:pPr>
              <w:ind w:firstLine="0"/>
              <w:rPr>
                <w:sz w:val="16"/>
                <w:szCs w:val="16"/>
              </w:rPr>
            </w:pPr>
            <w:r w:rsidRPr="009020D6">
              <w:rPr>
                <w:sz w:val="16"/>
                <w:szCs w:val="16"/>
              </w:rPr>
              <w:t>5. Sütun</w:t>
            </w:r>
          </w:p>
        </w:tc>
      </w:tr>
      <w:tr w:rsidR="00814D9E" w:rsidRPr="009020D6" w14:paraId="6BE334CB" w14:textId="77777777" w:rsidTr="00814D9E">
        <w:trPr>
          <w:trHeight w:val="210"/>
        </w:trPr>
        <w:tc>
          <w:tcPr>
            <w:tcW w:w="851" w:type="dxa"/>
            <w:tcBorders>
              <w:top w:val="nil"/>
              <w:left w:val="nil"/>
              <w:right w:val="nil"/>
            </w:tcBorders>
            <w:shd w:val="clear" w:color="auto" w:fill="FFFFFF"/>
          </w:tcPr>
          <w:p w14:paraId="38019621" w14:textId="77777777" w:rsidR="00814D9E" w:rsidRPr="009020D6" w:rsidRDefault="00814D9E" w:rsidP="00814D9E">
            <w:pPr>
              <w:ind w:firstLine="0"/>
              <w:rPr>
                <w:sz w:val="16"/>
                <w:szCs w:val="16"/>
              </w:rPr>
            </w:pPr>
            <w:r w:rsidRPr="009020D6">
              <w:rPr>
                <w:sz w:val="16"/>
                <w:szCs w:val="16"/>
              </w:rPr>
              <w:t>A</w:t>
            </w:r>
          </w:p>
        </w:tc>
        <w:tc>
          <w:tcPr>
            <w:tcW w:w="850" w:type="dxa"/>
            <w:tcBorders>
              <w:top w:val="nil"/>
              <w:left w:val="nil"/>
              <w:right w:val="nil"/>
            </w:tcBorders>
            <w:shd w:val="clear" w:color="auto" w:fill="FFFFFF"/>
          </w:tcPr>
          <w:p w14:paraId="2FE930A7" w14:textId="77777777" w:rsidR="00814D9E" w:rsidRPr="009020D6" w:rsidRDefault="00814D9E" w:rsidP="00814D9E">
            <w:pPr>
              <w:ind w:firstLine="0"/>
              <w:rPr>
                <w:sz w:val="16"/>
                <w:szCs w:val="16"/>
              </w:rPr>
            </w:pPr>
            <w:r w:rsidRPr="009020D6">
              <w:rPr>
                <w:sz w:val="16"/>
                <w:szCs w:val="16"/>
              </w:rPr>
              <w:t>X</w:t>
            </w:r>
          </w:p>
        </w:tc>
        <w:tc>
          <w:tcPr>
            <w:tcW w:w="1134" w:type="dxa"/>
            <w:tcBorders>
              <w:top w:val="nil"/>
              <w:left w:val="nil"/>
              <w:right w:val="nil"/>
            </w:tcBorders>
            <w:shd w:val="clear" w:color="auto" w:fill="FFFFFF"/>
          </w:tcPr>
          <w:p w14:paraId="1FFC4725" w14:textId="77777777" w:rsidR="00814D9E" w:rsidRPr="009020D6" w:rsidRDefault="00814D9E" w:rsidP="00814D9E">
            <w:pPr>
              <w:rPr>
                <w:sz w:val="16"/>
                <w:szCs w:val="16"/>
              </w:rPr>
            </w:pPr>
            <w:r w:rsidRPr="009020D6">
              <w:rPr>
                <w:sz w:val="16"/>
                <w:szCs w:val="16"/>
              </w:rPr>
              <w:t>X</w:t>
            </w:r>
          </w:p>
        </w:tc>
        <w:tc>
          <w:tcPr>
            <w:tcW w:w="993" w:type="dxa"/>
            <w:tcBorders>
              <w:top w:val="nil"/>
              <w:left w:val="nil"/>
              <w:right w:val="nil"/>
            </w:tcBorders>
            <w:shd w:val="clear" w:color="auto" w:fill="FFFFFF"/>
          </w:tcPr>
          <w:p w14:paraId="2C420D11" w14:textId="77777777" w:rsidR="00814D9E" w:rsidRPr="009020D6" w:rsidRDefault="00814D9E" w:rsidP="00814D9E">
            <w:pPr>
              <w:ind w:firstLine="0"/>
              <w:rPr>
                <w:sz w:val="16"/>
                <w:szCs w:val="16"/>
              </w:rPr>
            </w:pPr>
            <w:r w:rsidRPr="009020D6">
              <w:rPr>
                <w:sz w:val="16"/>
                <w:szCs w:val="16"/>
              </w:rPr>
              <w:t>X</w:t>
            </w:r>
          </w:p>
        </w:tc>
        <w:tc>
          <w:tcPr>
            <w:tcW w:w="992" w:type="dxa"/>
            <w:tcBorders>
              <w:top w:val="nil"/>
              <w:left w:val="nil"/>
              <w:right w:val="nil"/>
            </w:tcBorders>
            <w:shd w:val="clear" w:color="auto" w:fill="FFFFFF"/>
          </w:tcPr>
          <w:p w14:paraId="7CFC089C" w14:textId="77777777" w:rsidR="00814D9E" w:rsidRPr="009020D6" w:rsidRDefault="00814D9E" w:rsidP="00814D9E">
            <w:pPr>
              <w:ind w:firstLine="0"/>
              <w:rPr>
                <w:sz w:val="16"/>
                <w:szCs w:val="16"/>
              </w:rPr>
            </w:pPr>
            <w:r w:rsidRPr="009020D6">
              <w:rPr>
                <w:sz w:val="16"/>
                <w:szCs w:val="16"/>
              </w:rPr>
              <w:t>X</w:t>
            </w:r>
          </w:p>
        </w:tc>
      </w:tr>
      <w:tr w:rsidR="00814D9E" w:rsidRPr="009020D6" w14:paraId="31E91701" w14:textId="77777777" w:rsidTr="00814D9E">
        <w:trPr>
          <w:trHeight w:val="210"/>
        </w:trPr>
        <w:tc>
          <w:tcPr>
            <w:tcW w:w="851" w:type="dxa"/>
            <w:tcBorders>
              <w:left w:val="nil"/>
              <w:right w:val="nil"/>
            </w:tcBorders>
            <w:shd w:val="clear" w:color="auto" w:fill="FFFFFF"/>
          </w:tcPr>
          <w:p w14:paraId="066D2DC9" w14:textId="77777777" w:rsidR="00814D9E" w:rsidRPr="009020D6" w:rsidRDefault="00814D9E" w:rsidP="00814D9E">
            <w:pPr>
              <w:ind w:firstLine="0"/>
              <w:rPr>
                <w:sz w:val="16"/>
                <w:szCs w:val="16"/>
              </w:rPr>
            </w:pPr>
            <w:r w:rsidRPr="009020D6">
              <w:rPr>
                <w:sz w:val="16"/>
                <w:szCs w:val="16"/>
              </w:rPr>
              <w:t>B</w:t>
            </w:r>
          </w:p>
        </w:tc>
        <w:tc>
          <w:tcPr>
            <w:tcW w:w="850" w:type="dxa"/>
            <w:tcBorders>
              <w:left w:val="nil"/>
              <w:right w:val="nil"/>
            </w:tcBorders>
            <w:shd w:val="clear" w:color="auto" w:fill="FFFFFF"/>
          </w:tcPr>
          <w:p w14:paraId="25822A00" w14:textId="77777777" w:rsidR="00814D9E" w:rsidRPr="009020D6" w:rsidRDefault="00814D9E" w:rsidP="00814D9E">
            <w:pPr>
              <w:ind w:firstLine="0"/>
              <w:rPr>
                <w:sz w:val="16"/>
                <w:szCs w:val="16"/>
              </w:rPr>
            </w:pPr>
            <w:r w:rsidRPr="009020D6">
              <w:rPr>
                <w:sz w:val="16"/>
                <w:szCs w:val="16"/>
              </w:rPr>
              <w:t>Y</w:t>
            </w:r>
          </w:p>
        </w:tc>
        <w:tc>
          <w:tcPr>
            <w:tcW w:w="1134" w:type="dxa"/>
            <w:tcBorders>
              <w:left w:val="nil"/>
              <w:right w:val="nil"/>
            </w:tcBorders>
            <w:shd w:val="clear" w:color="auto" w:fill="FFFFFF"/>
          </w:tcPr>
          <w:p w14:paraId="0D91FB66" w14:textId="77777777" w:rsidR="00814D9E" w:rsidRPr="009020D6" w:rsidRDefault="00814D9E" w:rsidP="00814D9E">
            <w:pPr>
              <w:rPr>
                <w:sz w:val="16"/>
                <w:szCs w:val="16"/>
              </w:rPr>
            </w:pPr>
            <w:r w:rsidRPr="009020D6">
              <w:rPr>
                <w:sz w:val="16"/>
                <w:szCs w:val="16"/>
              </w:rPr>
              <w:t>Y</w:t>
            </w:r>
          </w:p>
        </w:tc>
        <w:tc>
          <w:tcPr>
            <w:tcW w:w="993" w:type="dxa"/>
            <w:tcBorders>
              <w:left w:val="nil"/>
              <w:right w:val="nil"/>
            </w:tcBorders>
            <w:shd w:val="clear" w:color="auto" w:fill="FFFFFF"/>
          </w:tcPr>
          <w:p w14:paraId="346630C7" w14:textId="77777777" w:rsidR="00814D9E" w:rsidRPr="009020D6" w:rsidRDefault="00814D9E" w:rsidP="00814D9E">
            <w:pPr>
              <w:ind w:firstLine="0"/>
              <w:rPr>
                <w:sz w:val="16"/>
                <w:szCs w:val="16"/>
              </w:rPr>
            </w:pPr>
            <w:r w:rsidRPr="009020D6">
              <w:rPr>
                <w:sz w:val="16"/>
                <w:szCs w:val="16"/>
              </w:rPr>
              <w:t>Y</w:t>
            </w:r>
          </w:p>
        </w:tc>
        <w:tc>
          <w:tcPr>
            <w:tcW w:w="992" w:type="dxa"/>
            <w:tcBorders>
              <w:left w:val="nil"/>
              <w:right w:val="nil"/>
            </w:tcBorders>
            <w:shd w:val="clear" w:color="auto" w:fill="FFFFFF"/>
          </w:tcPr>
          <w:p w14:paraId="4F6A0906" w14:textId="77777777" w:rsidR="00814D9E" w:rsidRPr="009020D6" w:rsidRDefault="00814D9E" w:rsidP="00814D9E">
            <w:pPr>
              <w:ind w:firstLine="0"/>
              <w:rPr>
                <w:sz w:val="16"/>
                <w:szCs w:val="16"/>
              </w:rPr>
            </w:pPr>
            <w:r w:rsidRPr="009020D6">
              <w:rPr>
                <w:sz w:val="16"/>
                <w:szCs w:val="16"/>
              </w:rPr>
              <w:t>Y</w:t>
            </w:r>
          </w:p>
        </w:tc>
      </w:tr>
      <w:tr w:rsidR="00814D9E" w:rsidRPr="009020D6" w14:paraId="5AB5BAF4" w14:textId="77777777" w:rsidTr="00814D9E">
        <w:trPr>
          <w:trHeight w:val="210"/>
        </w:trPr>
        <w:tc>
          <w:tcPr>
            <w:tcW w:w="851" w:type="dxa"/>
            <w:tcBorders>
              <w:left w:val="nil"/>
              <w:bottom w:val="single" w:sz="6" w:space="0" w:color="000000"/>
              <w:right w:val="nil"/>
            </w:tcBorders>
            <w:shd w:val="clear" w:color="auto" w:fill="FFFFFF"/>
          </w:tcPr>
          <w:p w14:paraId="56244373" w14:textId="77777777" w:rsidR="00814D9E" w:rsidRPr="009020D6" w:rsidRDefault="00814D9E" w:rsidP="00814D9E">
            <w:pPr>
              <w:ind w:firstLine="0"/>
              <w:rPr>
                <w:sz w:val="16"/>
                <w:szCs w:val="16"/>
              </w:rPr>
            </w:pPr>
            <w:r w:rsidRPr="009020D6">
              <w:rPr>
                <w:sz w:val="16"/>
                <w:szCs w:val="16"/>
              </w:rPr>
              <w:t>C</w:t>
            </w:r>
          </w:p>
        </w:tc>
        <w:tc>
          <w:tcPr>
            <w:tcW w:w="850" w:type="dxa"/>
            <w:tcBorders>
              <w:left w:val="nil"/>
              <w:bottom w:val="single" w:sz="6" w:space="0" w:color="000000"/>
              <w:right w:val="nil"/>
            </w:tcBorders>
            <w:shd w:val="clear" w:color="auto" w:fill="FFFFFF"/>
          </w:tcPr>
          <w:p w14:paraId="483C748F" w14:textId="77777777" w:rsidR="00814D9E" w:rsidRPr="009020D6" w:rsidRDefault="00814D9E" w:rsidP="00814D9E">
            <w:pPr>
              <w:ind w:firstLine="0"/>
              <w:rPr>
                <w:sz w:val="16"/>
                <w:szCs w:val="16"/>
              </w:rPr>
            </w:pPr>
            <w:r w:rsidRPr="009020D6">
              <w:rPr>
                <w:sz w:val="16"/>
                <w:szCs w:val="16"/>
              </w:rPr>
              <w:t>Z</w:t>
            </w:r>
          </w:p>
        </w:tc>
        <w:tc>
          <w:tcPr>
            <w:tcW w:w="1134" w:type="dxa"/>
            <w:tcBorders>
              <w:left w:val="nil"/>
              <w:bottom w:val="single" w:sz="6" w:space="0" w:color="000000"/>
              <w:right w:val="nil"/>
            </w:tcBorders>
            <w:shd w:val="clear" w:color="auto" w:fill="FFFFFF"/>
          </w:tcPr>
          <w:p w14:paraId="52506D5C" w14:textId="77777777" w:rsidR="00814D9E" w:rsidRPr="009020D6" w:rsidRDefault="00814D9E" w:rsidP="00814D9E">
            <w:pPr>
              <w:rPr>
                <w:sz w:val="16"/>
                <w:szCs w:val="16"/>
              </w:rPr>
            </w:pPr>
            <w:r w:rsidRPr="009020D6">
              <w:rPr>
                <w:sz w:val="16"/>
                <w:szCs w:val="16"/>
              </w:rPr>
              <w:t>Z</w:t>
            </w:r>
          </w:p>
        </w:tc>
        <w:tc>
          <w:tcPr>
            <w:tcW w:w="993" w:type="dxa"/>
            <w:tcBorders>
              <w:left w:val="nil"/>
              <w:bottom w:val="single" w:sz="6" w:space="0" w:color="000000"/>
              <w:right w:val="nil"/>
            </w:tcBorders>
            <w:shd w:val="clear" w:color="auto" w:fill="FFFFFF"/>
          </w:tcPr>
          <w:p w14:paraId="72805356" w14:textId="77777777" w:rsidR="00814D9E" w:rsidRPr="009020D6" w:rsidRDefault="00814D9E" w:rsidP="00814D9E">
            <w:pPr>
              <w:ind w:firstLine="0"/>
              <w:rPr>
                <w:sz w:val="16"/>
                <w:szCs w:val="16"/>
              </w:rPr>
            </w:pPr>
            <w:r w:rsidRPr="009020D6">
              <w:rPr>
                <w:sz w:val="16"/>
                <w:szCs w:val="16"/>
              </w:rPr>
              <w:t>Z</w:t>
            </w:r>
          </w:p>
        </w:tc>
        <w:tc>
          <w:tcPr>
            <w:tcW w:w="992" w:type="dxa"/>
            <w:tcBorders>
              <w:left w:val="nil"/>
              <w:bottom w:val="single" w:sz="6" w:space="0" w:color="000000"/>
              <w:right w:val="nil"/>
            </w:tcBorders>
            <w:shd w:val="clear" w:color="auto" w:fill="FFFFFF"/>
          </w:tcPr>
          <w:p w14:paraId="400A002E" w14:textId="77777777" w:rsidR="00814D9E" w:rsidRPr="009020D6" w:rsidRDefault="00814D9E" w:rsidP="00814D9E">
            <w:pPr>
              <w:ind w:firstLine="0"/>
              <w:rPr>
                <w:sz w:val="16"/>
                <w:szCs w:val="16"/>
              </w:rPr>
            </w:pPr>
            <w:r w:rsidRPr="009020D6">
              <w:rPr>
                <w:sz w:val="16"/>
                <w:szCs w:val="16"/>
              </w:rPr>
              <w:t>Z</w:t>
            </w:r>
          </w:p>
        </w:tc>
      </w:tr>
    </w:tbl>
    <w:p w14:paraId="08D1FF1B" w14:textId="6AE94ADE" w:rsidR="00DB67AE" w:rsidRPr="009020D6" w:rsidRDefault="00814D9E" w:rsidP="00962124">
      <w:pPr>
        <w:pStyle w:val="Balk4"/>
        <w:spacing w:before="0" w:after="120"/>
        <w:rPr>
          <w:b w:val="0"/>
          <w:sz w:val="16"/>
          <w:szCs w:val="16"/>
        </w:rPr>
        <w:sectPr w:rsidR="00DB67AE" w:rsidRPr="009020D6" w:rsidSect="003E68BD">
          <w:type w:val="continuous"/>
          <w:pgSz w:w="11906" w:h="16838"/>
          <w:pgMar w:top="1134" w:right="851" w:bottom="1134" w:left="851" w:header="709" w:footer="709" w:gutter="0"/>
          <w:cols w:num="2" w:space="284"/>
          <w:docGrid w:linePitch="360"/>
        </w:sectPr>
      </w:pPr>
      <w:r w:rsidRPr="009020D6">
        <w:rPr>
          <w:sz w:val="16"/>
          <w:szCs w:val="16"/>
        </w:rPr>
        <w:t>Kaynak:</w:t>
      </w:r>
      <w:r w:rsidRPr="009020D6">
        <w:rPr>
          <w:b w:val="0"/>
          <w:sz w:val="16"/>
          <w:szCs w:val="16"/>
        </w:rPr>
        <w:t xml:space="preserve"> </w:t>
      </w:r>
      <w:r w:rsidR="009020D6" w:rsidRPr="009020D6">
        <w:rPr>
          <w:b w:val="0"/>
          <w:sz w:val="16"/>
          <w:szCs w:val="16"/>
        </w:rPr>
        <w:t xml:space="preserve">Seyidoğlu, 2018: 215. </w:t>
      </w:r>
    </w:p>
    <w:p w14:paraId="7B3467D3" w14:textId="77777777" w:rsidR="00962124" w:rsidRPr="009020D6" w:rsidRDefault="00962124" w:rsidP="00DB67AE">
      <w:pPr>
        <w:pStyle w:val="Balk4"/>
      </w:pPr>
    </w:p>
    <w:p w14:paraId="248012A0" w14:textId="77777777" w:rsidR="00D550EB" w:rsidRPr="009020D6" w:rsidRDefault="00D550EB" w:rsidP="00DB67AE">
      <w:pPr>
        <w:pStyle w:val="Balk4"/>
      </w:pPr>
      <w:r w:rsidRPr="009020D6">
        <w:t xml:space="preserve">Tablo </w:t>
      </w:r>
      <w:r w:rsidR="00DB67AE" w:rsidRPr="009020D6">
        <w:t>2</w:t>
      </w:r>
    </w:p>
    <w:p w14:paraId="60573919" w14:textId="77777777" w:rsidR="00D550EB" w:rsidRPr="009020D6" w:rsidRDefault="00DB67AE" w:rsidP="00422898">
      <w:pPr>
        <w:pStyle w:val="KonuBal"/>
      </w:pPr>
      <w:r w:rsidRPr="009020D6">
        <w:t xml:space="preserve">Bir tablo örneği (çift sütun </w:t>
      </w:r>
      <w:r w:rsidRPr="00422898">
        <w:t>genişliğinde</w:t>
      </w:r>
      <w:r w:rsidRPr="009020D6">
        <w:t>)</w:t>
      </w:r>
    </w:p>
    <w:tbl>
      <w:tblPr>
        <w:tblW w:w="0" w:type="auto"/>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firstRow="1" w:lastRow="0" w:firstColumn="1" w:lastColumn="0" w:noHBand="0" w:noVBand="0"/>
      </w:tblPr>
      <w:tblGrid>
        <w:gridCol w:w="1113"/>
        <w:gridCol w:w="1124"/>
        <w:gridCol w:w="1124"/>
        <w:gridCol w:w="1124"/>
        <w:gridCol w:w="1124"/>
        <w:gridCol w:w="1124"/>
        <w:gridCol w:w="1124"/>
        <w:gridCol w:w="1124"/>
      </w:tblGrid>
      <w:tr w:rsidR="00DB67AE" w:rsidRPr="009020D6" w14:paraId="3001E475" w14:textId="77777777" w:rsidTr="00DB67AE">
        <w:trPr>
          <w:trHeight w:val="210"/>
          <w:jc w:val="center"/>
        </w:trPr>
        <w:tc>
          <w:tcPr>
            <w:tcW w:w="1113" w:type="dxa"/>
            <w:tcBorders>
              <w:top w:val="single" w:sz="6" w:space="0" w:color="000000"/>
              <w:left w:val="nil"/>
              <w:bottom w:val="single" w:sz="6" w:space="0" w:color="000000"/>
              <w:right w:val="nil"/>
            </w:tcBorders>
            <w:shd w:val="clear" w:color="auto" w:fill="FFFFFF"/>
          </w:tcPr>
          <w:p w14:paraId="0D365E09" w14:textId="77777777" w:rsidR="00DB67AE" w:rsidRPr="009020D6" w:rsidRDefault="00DB67AE" w:rsidP="00962124">
            <w:pPr>
              <w:ind w:firstLine="0"/>
              <w:rPr>
                <w:sz w:val="16"/>
                <w:szCs w:val="16"/>
              </w:rPr>
            </w:pPr>
            <w:r w:rsidRPr="009020D6">
              <w:rPr>
                <w:sz w:val="16"/>
                <w:szCs w:val="16"/>
              </w:rPr>
              <w:t>1. Sütun</w:t>
            </w:r>
          </w:p>
        </w:tc>
        <w:tc>
          <w:tcPr>
            <w:tcW w:w="1124" w:type="dxa"/>
            <w:tcBorders>
              <w:top w:val="single" w:sz="6" w:space="0" w:color="000000"/>
              <w:left w:val="nil"/>
              <w:bottom w:val="single" w:sz="6" w:space="0" w:color="000000"/>
              <w:right w:val="nil"/>
            </w:tcBorders>
            <w:shd w:val="clear" w:color="auto" w:fill="FFFFFF"/>
          </w:tcPr>
          <w:p w14:paraId="79C22C99" w14:textId="77777777" w:rsidR="00DB67AE" w:rsidRPr="009020D6" w:rsidRDefault="00DB67AE" w:rsidP="00962124">
            <w:pPr>
              <w:ind w:firstLine="0"/>
              <w:rPr>
                <w:sz w:val="16"/>
                <w:szCs w:val="16"/>
              </w:rPr>
            </w:pPr>
            <w:r w:rsidRPr="009020D6">
              <w:rPr>
                <w:sz w:val="16"/>
                <w:szCs w:val="16"/>
              </w:rPr>
              <w:t>2. Sütun</w:t>
            </w:r>
          </w:p>
        </w:tc>
        <w:tc>
          <w:tcPr>
            <w:tcW w:w="1124" w:type="dxa"/>
            <w:tcBorders>
              <w:top w:val="single" w:sz="6" w:space="0" w:color="000000"/>
              <w:left w:val="nil"/>
              <w:bottom w:val="single" w:sz="6" w:space="0" w:color="000000"/>
              <w:right w:val="nil"/>
            </w:tcBorders>
            <w:shd w:val="clear" w:color="auto" w:fill="FFFFFF"/>
          </w:tcPr>
          <w:p w14:paraId="2935E5AA" w14:textId="77777777" w:rsidR="00DB67AE" w:rsidRPr="009020D6" w:rsidRDefault="00DB67AE" w:rsidP="00962124">
            <w:pPr>
              <w:ind w:firstLine="0"/>
              <w:rPr>
                <w:sz w:val="16"/>
                <w:szCs w:val="16"/>
              </w:rPr>
            </w:pPr>
            <w:r w:rsidRPr="009020D6">
              <w:rPr>
                <w:sz w:val="16"/>
                <w:szCs w:val="16"/>
              </w:rPr>
              <w:t>3. Sütun</w:t>
            </w:r>
          </w:p>
        </w:tc>
        <w:tc>
          <w:tcPr>
            <w:tcW w:w="1124" w:type="dxa"/>
            <w:tcBorders>
              <w:top w:val="single" w:sz="6" w:space="0" w:color="000000"/>
              <w:left w:val="nil"/>
              <w:bottom w:val="single" w:sz="6" w:space="0" w:color="000000"/>
              <w:right w:val="nil"/>
            </w:tcBorders>
            <w:shd w:val="clear" w:color="auto" w:fill="FFFFFF"/>
          </w:tcPr>
          <w:p w14:paraId="13B87CCF" w14:textId="77777777" w:rsidR="00DB67AE" w:rsidRPr="009020D6" w:rsidRDefault="00DB67AE" w:rsidP="00962124">
            <w:pPr>
              <w:ind w:firstLine="0"/>
              <w:rPr>
                <w:sz w:val="16"/>
                <w:szCs w:val="16"/>
              </w:rPr>
            </w:pPr>
            <w:r w:rsidRPr="009020D6">
              <w:rPr>
                <w:sz w:val="16"/>
                <w:szCs w:val="16"/>
              </w:rPr>
              <w:t>4. Sütun</w:t>
            </w:r>
          </w:p>
        </w:tc>
        <w:tc>
          <w:tcPr>
            <w:tcW w:w="1124" w:type="dxa"/>
            <w:tcBorders>
              <w:top w:val="single" w:sz="6" w:space="0" w:color="000000"/>
              <w:left w:val="nil"/>
              <w:bottom w:val="single" w:sz="6" w:space="0" w:color="000000"/>
              <w:right w:val="nil"/>
            </w:tcBorders>
            <w:shd w:val="clear" w:color="auto" w:fill="FFFFFF"/>
          </w:tcPr>
          <w:p w14:paraId="2798C0B5" w14:textId="77777777" w:rsidR="00DB67AE" w:rsidRPr="009020D6" w:rsidRDefault="00DB67AE" w:rsidP="00962124">
            <w:pPr>
              <w:ind w:firstLine="0"/>
              <w:rPr>
                <w:sz w:val="16"/>
                <w:szCs w:val="16"/>
              </w:rPr>
            </w:pPr>
            <w:r w:rsidRPr="009020D6">
              <w:rPr>
                <w:sz w:val="16"/>
                <w:szCs w:val="16"/>
              </w:rPr>
              <w:t>5. Sütun</w:t>
            </w:r>
          </w:p>
        </w:tc>
        <w:tc>
          <w:tcPr>
            <w:tcW w:w="1124" w:type="dxa"/>
            <w:tcBorders>
              <w:top w:val="single" w:sz="6" w:space="0" w:color="000000"/>
              <w:left w:val="nil"/>
              <w:bottom w:val="single" w:sz="6" w:space="0" w:color="000000"/>
              <w:right w:val="nil"/>
            </w:tcBorders>
            <w:shd w:val="clear" w:color="auto" w:fill="FFFFFF"/>
          </w:tcPr>
          <w:p w14:paraId="2A259960" w14:textId="77777777" w:rsidR="00DB67AE" w:rsidRPr="009020D6" w:rsidRDefault="00DB67AE" w:rsidP="00962124">
            <w:pPr>
              <w:ind w:firstLine="0"/>
              <w:rPr>
                <w:sz w:val="16"/>
                <w:szCs w:val="16"/>
              </w:rPr>
            </w:pPr>
            <w:r w:rsidRPr="009020D6">
              <w:rPr>
                <w:sz w:val="16"/>
                <w:szCs w:val="16"/>
              </w:rPr>
              <w:t>6. Sütun</w:t>
            </w:r>
          </w:p>
        </w:tc>
        <w:tc>
          <w:tcPr>
            <w:tcW w:w="1124" w:type="dxa"/>
            <w:tcBorders>
              <w:top w:val="single" w:sz="6" w:space="0" w:color="000000"/>
              <w:left w:val="nil"/>
              <w:bottom w:val="single" w:sz="6" w:space="0" w:color="000000"/>
              <w:right w:val="nil"/>
            </w:tcBorders>
            <w:shd w:val="clear" w:color="auto" w:fill="FFFFFF"/>
          </w:tcPr>
          <w:p w14:paraId="7F79C57F" w14:textId="77777777" w:rsidR="00DB67AE" w:rsidRPr="009020D6" w:rsidRDefault="00DB67AE" w:rsidP="00962124">
            <w:pPr>
              <w:ind w:firstLine="0"/>
              <w:rPr>
                <w:sz w:val="16"/>
                <w:szCs w:val="16"/>
              </w:rPr>
            </w:pPr>
            <w:r w:rsidRPr="009020D6">
              <w:rPr>
                <w:sz w:val="16"/>
                <w:szCs w:val="16"/>
              </w:rPr>
              <w:t>7. Sütun</w:t>
            </w:r>
          </w:p>
        </w:tc>
        <w:tc>
          <w:tcPr>
            <w:tcW w:w="1124" w:type="dxa"/>
            <w:tcBorders>
              <w:top w:val="single" w:sz="6" w:space="0" w:color="000000"/>
              <w:left w:val="nil"/>
              <w:bottom w:val="single" w:sz="6" w:space="0" w:color="000000"/>
              <w:right w:val="nil"/>
            </w:tcBorders>
            <w:shd w:val="clear" w:color="auto" w:fill="FFFFFF"/>
          </w:tcPr>
          <w:p w14:paraId="7D9AA03B" w14:textId="77777777" w:rsidR="00DB67AE" w:rsidRPr="009020D6" w:rsidRDefault="00DB67AE" w:rsidP="00962124">
            <w:pPr>
              <w:ind w:firstLine="0"/>
              <w:rPr>
                <w:sz w:val="16"/>
                <w:szCs w:val="16"/>
              </w:rPr>
            </w:pPr>
            <w:r w:rsidRPr="009020D6">
              <w:rPr>
                <w:sz w:val="16"/>
                <w:szCs w:val="16"/>
              </w:rPr>
              <w:t>8. Sütun</w:t>
            </w:r>
          </w:p>
        </w:tc>
      </w:tr>
      <w:tr w:rsidR="00DB67AE" w:rsidRPr="009020D6" w14:paraId="2FEE735C" w14:textId="77777777" w:rsidTr="00DB67AE">
        <w:trPr>
          <w:trHeight w:val="210"/>
          <w:jc w:val="center"/>
        </w:trPr>
        <w:tc>
          <w:tcPr>
            <w:tcW w:w="1113" w:type="dxa"/>
            <w:tcBorders>
              <w:top w:val="nil"/>
              <w:left w:val="nil"/>
              <w:right w:val="nil"/>
            </w:tcBorders>
            <w:shd w:val="clear" w:color="auto" w:fill="FFFFFF"/>
          </w:tcPr>
          <w:p w14:paraId="53A61B11" w14:textId="77777777" w:rsidR="00DB67AE" w:rsidRPr="009020D6" w:rsidRDefault="00DB67AE" w:rsidP="00962124">
            <w:pPr>
              <w:ind w:firstLine="0"/>
              <w:rPr>
                <w:sz w:val="16"/>
                <w:szCs w:val="16"/>
              </w:rPr>
            </w:pPr>
            <w:r w:rsidRPr="009020D6">
              <w:rPr>
                <w:sz w:val="16"/>
                <w:szCs w:val="16"/>
              </w:rPr>
              <w:t>A</w:t>
            </w:r>
          </w:p>
        </w:tc>
        <w:tc>
          <w:tcPr>
            <w:tcW w:w="1124" w:type="dxa"/>
            <w:tcBorders>
              <w:top w:val="nil"/>
              <w:left w:val="nil"/>
              <w:right w:val="nil"/>
            </w:tcBorders>
            <w:shd w:val="clear" w:color="auto" w:fill="FFFFFF"/>
          </w:tcPr>
          <w:p w14:paraId="26694EB8" w14:textId="77777777" w:rsidR="00DB67AE" w:rsidRPr="009020D6" w:rsidRDefault="00DB67AE" w:rsidP="00962124">
            <w:pPr>
              <w:ind w:firstLine="0"/>
              <w:rPr>
                <w:sz w:val="16"/>
                <w:szCs w:val="16"/>
              </w:rPr>
            </w:pPr>
            <w:r w:rsidRPr="009020D6">
              <w:rPr>
                <w:sz w:val="16"/>
                <w:szCs w:val="16"/>
              </w:rPr>
              <w:t>A</w:t>
            </w:r>
          </w:p>
        </w:tc>
        <w:tc>
          <w:tcPr>
            <w:tcW w:w="1124" w:type="dxa"/>
            <w:tcBorders>
              <w:top w:val="nil"/>
              <w:left w:val="nil"/>
              <w:right w:val="nil"/>
            </w:tcBorders>
            <w:shd w:val="clear" w:color="auto" w:fill="FFFFFF"/>
          </w:tcPr>
          <w:p w14:paraId="30FD9FC4" w14:textId="77777777" w:rsidR="00DB67AE" w:rsidRPr="009020D6" w:rsidRDefault="00DB67AE" w:rsidP="00962124">
            <w:pPr>
              <w:ind w:firstLine="0"/>
              <w:rPr>
                <w:sz w:val="16"/>
                <w:szCs w:val="16"/>
              </w:rPr>
            </w:pPr>
            <w:r w:rsidRPr="009020D6">
              <w:rPr>
                <w:sz w:val="16"/>
                <w:szCs w:val="16"/>
              </w:rPr>
              <w:t>X</w:t>
            </w:r>
          </w:p>
        </w:tc>
        <w:tc>
          <w:tcPr>
            <w:tcW w:w="1124" w:type="dxa"/>
            <w:tcBorders>
              <w:top w:val="nil"/>
              <w:left w:val="nil"/>
              <w:right w:val="nil"/>
            </w:tcBorders>
            <w:shd w:val="clear" w:color="auto" w:fill="FFFFFF"/>
          </w:tcPr>
          <w:p w14:paraId="0CE70184" w14:textId="77777777" w:rsidR="00DB67AE" w:rsidRPr="009020D6" w:rsidRDefault="00DB67AE" w:rsidP="00962124">
            <w:pPr>
              <w:ind w:firstLine="0"/>
              <w:rPr>
                <w:sz w:val="16"/>
                <w:szCs w:val="16"/>
              </w:rPr>
            </w:pPr>
            <w:r w:rsidRPr="009020D6">
              <w:rPr>
                <w:sz w:val="16"/>
                <w:szCs w:val="16"/>
              </w:rPr>
              <w:t>X</w:t>
            </w:r>
          </w:p>
        </w:tc>
        <w:tc>
          <w:tcPr>
            <w:tcW w:w="1124" w:type="dxa"/>
            <w:tcBorders>
              <w:top w:val="nil"/>
              <w:left w:val="nil"/>
              <w:right w:val="nil"/>
            </w:tcBorders>
            <w:shd w:val="clear" w:color="auto" w:fill="FFFFFF"/>
          </w:tcPr>
          <w:p w14:paraId="1531DA3B" w14:textId="77777777" w:rsidR="00DB67AE" w:rsidRPr="009020D6" w:rsidRDefault="00DB67AE" w:rsidP="00962124">
            <w:pPr>
              <w:ind w:firstLine="0"/>
              <w:rPr>
                <w:sz w:val="16"/>
                <w:szCs w:val="16"/>
              </w:rPr>
            </w:pPr>
            <w:r w:rsidRPr="009020D6">
              <w:rPr>
                <w:sz w:val="16"/>
                <w:szCs w:val="16"/>
              </w:rPr>
              <w:t>X</w:t>
            </w:r>
          </w:p>
        </w:tc>
        <w:tc>
          <w:tcPr>
            <w:tcW w:w="1124" w:type="dxa"/>
            <w:tcBorders>
              <w:top w:val="nil"/>
              <w:left w:val="nil"/>
              <w:right w:val="nil"/>
            </w:tcBorders>
            <w:shd w:val="clear" w:color="auto" w:fill="FFFFFF"/>
          </w:tcPr>
          <w:p w14:paraId="348DC288" w14:textId="77777777" w:rsidR="00DB67AE" w:rsidRPr="009020D6" w:rsidRDefault="00DB67AE" w:rsidP="00962124">
            <w:pPr>
              <w:ind w:firstLine="0"/>
              <w:rPr>
                <w:sz w:val="16"/>
                <w:szCs w:val="16"/>
              </w:rPr>
            </w:pPr>
            <w:r w:rsidRPr="009020D6">
              <w:rPr>
                <w:sz w:val="16"/>
                <w:szCs w:val="16"/>
              </w:rPr>
              <w:t>X</w:t>
            </w:r>
          </w:p>
        </w:tc>
        <w:tc>
          <w:tcPr>
            <w:tcW w:w="1124" w:type="dxa"/>
            <w:tcBorders>
              <w:top w:val="nil"/>
              <w:left w:val="nil"/>
              <w:right w:val="nil"/>
            </w:tcBorders>
            <w:shd w:val="clear" w:color="auto" w:fill="FFFFFF"/>
          </w:tcPr>
          <w:p w14:paraId="3D6C9E9E" w14:textId="77777777" w:rsidR="00DB67AE" w:rsidRPr="009020D6" w:rsidRDefault="00DB67AE" w:rsidP="00962124">
            <w:pPr>
              <w:ind w:firstLine="0"/>
              <w:rPr>
                <w:sz w:val="16"/>
                <w:szCs w:val="16"/>
              </w:rPr>
            </w:pPr>
            <w:r w:rsidRPr="009020D6">
              <w:rPr>
                <w:sz w:val="16"/>
                <w:szCs w:val="16"/>
              </w:rPr>
              <w:t>X</w:t>
            </w:r>
          </w:p>
        </w:tc>
        <w:tc>
          <w:tcPr>
            <w:tcW w:w="1124" w:type="dxa"/>
            <w:tcBorders>
              <w:top w:val="nil"/>
              <w:left w:val="nil"/>
              <w:right w:val="nil"/>
            </w:tcBorders>
            <w:shd w:val="clear" w:color="auto" w:fill="FFFFFF"/>
          </w:tcPr>
          <w:p w14:paraId="0B0DEA9E" w14:textId="77777777" w:rsidR="00DB67AE" w:rsidRPr="009020D6" w:rsidRDefault="00DB67AE" w:rsidP="00962124">
            <w:pPr>
              <w:ind w:firstLine="0"/>
              <w:rPr>
                <w:sz w:val="16"/>
                <w:szCs w:val="16"/>
              </w:rPr>
            </w:pPr>
            <w:r w:rsidRPr="009020D6">
              <w:rPr>
                <w:sz w:val="16"/>
                <w:szCs w:val="16"/>
              </w:rPr>
              <w:t>X</w:t>
            </w:r>
          </w:p>
        </w:tc>
      </w:tr>
      <w:tr w:rsidR="00DB67AE" w:rsidRPr="009020D6" w14:paraId="38BD54A4" w14:textId="77777777" w:rsidTr="00DB67AE">
        <w:trPr>
          <w:trHeight w:val="210"/>
          <w:jc w:val="center"/>
        </w:trPr>
        <w:tc>
          <w:tcPr>
            <w:tcW w:w="1113" w:type="dxa"/>
            <w:tcBorders>
              <w:left w:val="nil"/>
              <w:right w:val="nil"/>
            </w:tcBorders>
            <w:shd w:val="clear" w:color="auto" w:fill="FFFFFF"/>
          </w:tcPr>
          <w:p w14:paraId="69CC6098" w14:textId="77777777" w:rsidR="00DB67AE" w:rsidRPr="009020D6" w:rsidRDefault="00DB67AE" w:rsidP="00962124">
            <w:pPr>
              <w:ind w:firstLine="0"/>
              <w:rPr>
                <w:sz w:val="16"/>
                <w:szCs w:val="16"/>
              </w:rPr>
            </w:pPr>
            <w:r w:rsidRPr="009020D6">
              <w:rPr>
                <w:sz w:val="16"/>
                <w:szCs w:val="16"/>
              </w:rPr>
              <w:t>B</w:t>
            </w:r>
          </w:p>
        </w:tc>
        <w:tc>
          <w:tcPr>
            <w:tcW w:w="1124" w:type="dxa"/>
            <w:tcBorders>
              <w:left w:val="nil"/>
              <w:right w:val="nil"/>
            </w:tcBorders>
            <w:shd w:val="clear" w:color="auto" w:fill="FFFFFF"/>
          </w:tcPr>
          <w:p w14:paraId="60A28EB1" w14:textId="77777777" w:rsidR="00DB67AE" w:rsidRPr="009020D6" w:rsidRDefault="00DB67AE" w:rsidP="00962124">
            <w:pPr>
              <w:ind w:firstLine="0"/>
              <w:rPr>
                <w:sz w:val="16"/>
                <w:szCs w:val="16"/>
              </w:rPr>
            </w:pPr>
            <w:r w:rsidRPr="009020D6">
              <w:rPr>
                <w:sz w:val="16"/>
                <w:szCs w:val="16"/>
              </w:rPr>
              <w:t>B</w:t>
            </w:r>
          </w:p>
        </w:tc>
        <w:tc>
          <w:tcPr>
            <w:tcW w:w="1124" w:type="dxa"/>
            <w:tcBorders>
              <w:left w:val="nil"/>
              <w:right w:val="nil"/>
            </w:tcBorders>
            <w:shd w:val="clear" w:color="auto" w:fill="FFFFFF"/>
          </w:tcPr>
          <w:p w14:paraId="57491695" w14:textId="77777777" w:rsidR="00DB67AE" w:rsidRPr="009020D6" w:rsidRDefault="00DB67AE" w:rsidP="00962124">
            <w:pPr>
              <w:ind w:firstLine="0"/>
              <w:rPr>
                <w:sz w:val="16"/>
                <w:szCs w:val="16"/>
              </w:rPr>
            </w:pPr>
            <w:r w:rsidRPr="009020D6">
              <w:rPr>
                <w:sz w:val="16"/>
                <w:szCs w:val="16"/>
              </w:rPr>
              <w:t>Y</w:t>
            </w:r>
          </w:p>
        </w:tc>
        <w:tc>
          <w:tcPr>
            <w:tcW w:w="1124" w:type="dxa"/>
            <w:tcBorders>
              <w:left w:val="nil"/>
              <w:right w:val="nil"/>
            </w:tcBorders>
            <w:shd w:val="clear" w:color="auto" w:fill="FFFFFF"/>
          </w:tcPr>
          <w:p w14:paraId="29F43CC1" w14:textId="77777777" w:rsidR="00DB67AE" w:rsidRPr="009020D6" w:rsidRDefault="00DB67AE" w:rsidP="00962124">
            <w:pPr>
              <w:ind w:firstLine="0"/>
              <w:rPr>
                <w:sz w:val="16"/>
                <w:szCs w:val="16"/>
              </w:rPr>
            </w:pPr>
            <w:r w:rsidRPr="009020D6">
              <w:rPr>
                <w:sz w:val="16"/>
                <w:szCs w:val="16"/>
              </w:rPr>
              <w:t>Y</w:t>
            </w:r>
          </w:p>
        </w:tc>
        <w:tc>
          <w:tcPr>
            <w:tcW w:w="1124" w:type="dxa"/>
            <w:tcBorders>
              <w:left w:val="nil"/>
              <w:right w:val="nil"/>
            </w:tcBorders>
            <w:shd w:val="clear" w:color="auto" w:fill="FFFFFF"/>
          </w:tcPr>
          <w:p w14:paraId="19CB7DCD" w14:textId="77777777" w:rsidR="00DB67AE" w:rsidRPr="009020D6" w:rsidRDefault="00DB67AE" w:rsidP="00962124">
            <w:pPr>
              <w:ind w:firstLine="0"/>
              <w:rPr>
                <w:sz w:val="16"/>
                <w:szCs w:val="16"/>
              </w:rPr>
            </w:pPr>
            <w:r w:rsidRPr="009020D6">
              <w:rPr>
                <w:sz w:val="16"/>
                <w:szCs w:val="16"/>
              </w:rPr>
              <w:t>Y</w:t>
            </w:r>
          </w:p>
        </w:tc>
        <w:tc>
          <w:tcPr>
            <w:tcW w:w="1124" w:type="dxa"/>
            <w:tcBorders>
              <w:left w:val="nil"/>
              <w:right w:val="nil"/>
            </w:tcBorders>
            <w:shd w:val="clear" w:color="auto" w:fill="FFFFFF"/>
          </w:tcPr>
          <w:p w14:paraId="2EA5D21A" w14:textId="77777777" w:rsidR="00DB67AE" w:rsidRPr="009020D6" w:rsidRDefault="00DB67AE" w:rsidP="00962124">
            <w:pPr>
              <w:ind w:firstLine="0"/>
              <w:rPr>
                <w:sz w:val="16"/>
                <w:szCs w:val="16"/>
              </w:rPr>
            </w:pPr>
            <w:r w:rsidRPr="009020D6">
              <w:rPr>
                <w:sz w:val="16"/>
                <w:szCs w:val="16"/>
              </w:rPr>
              <w:t>Y</w:t>
            </w:r>
          </w:p>
        </w:tc>
        <w:tc>
          <w:tcPr>
            <w:tcW w:w="1124" w:type="dxa"/>
            <w:tcBorders>
              <w:left w:val="nil"/>
              <w:right w:val="nil"/>
            </w:tcBorders>
            <w:shd w:val="clear" w:color="auto" w:fill="FFFFFF"/>
          </w:tcPr>
          <w:p w14:paraId="2A7A04DD" w14:textId="77777777" w:rsidR="00DB67AE" w:rsidRPr="009020D6" w:rsidRDefault="00DB67AE" w:rsidP="00962124">
            <w:pPr>
              <w:ind w:firstLine="0"/>
              <w:rPr>
                <w:sz w:val="16"/>
                <w:szCs w:val="16"/>
              </w:rPr>
            </w:pPr>
            <w:r w:rsidRPr="009020D6">
              <w:rPr>
                <w:sz w:val="16"/>
                <w:szCs w:val="16"/>
              </w:rPr>
              <w:t>Y</w:t>
            </w:r>
          </w:p>
        </w:tc>
        <w:tc>
          <w:tcPr>
            <w:tcW w:w="1124" w:type="dxa"/>
            <w:tcBorders>
              <w:left w:val="nil"/>
              <w:right w:val="nil"/>
            </w:tcBorders>
            <w:shd w:val="clear" w:color="auto" w:fill="FFFFFF"/>
          </w:tcPr>
          <w:p w14:paraId="26196ED3" w14:textId="77777777" w:rsidR="00DB67AE" w:rsidRPr="009020D6" w:rsidRDefault="00DB67AE" w:rsidP="00962124">
            <w:pPr>
              <w:ind w:firstLine="0"/>
              <w:rPr>
                <w:sz w:val="16"/>
                <w:szCs w:val="16"/>
              </w:rPr>
            </w:pPr>
            <w:r w:rsidRPr="009020D6">
              <w:rPr>
                <w:sz w:val="16"/>
                <w:szCs w:val="16"/>
              </w:rPr>
              <w:t>Y</w:t>
            </w:r>
          </w:p>
        </w:tc>
      </w:tr>
      <w:tr w:rsidR="00DB67AE" w:rsidRPr="009020D6" w14:paraId="422D36EC" w14:textId="77777777" w:rsidTr="00DB67AE">
        <w:trPr>
          <w:trHeight w:val="210"/>
          <w:jc w:val="center"/>
        </w:trPr>
        <w:tc>
          <w:tcPr>
            <w:tcW w:w="1113" w:type="dxa"/>
            <w:tcBorders>
              <w:left w:val="nil"/>
              <w:bottom w:val="single" w:sz="6" w:space="0" w:color="000000"/>
              <w:right w:val="nil"/>
            </w:tcBorders>
            <w:shd w:val="clear" w:color="auto" w:fill="FFFFFF"/>
          </w:tcPr>
          <w:p w14:paraId="5264F610" w14:textId="77777777" w:rsidR="00DB67AE" w:rsidRPr="009020D6" w:rsidRDefault="00DB67AE" w:rsidP="00962124">
            <w:pPr>
              <w:ind w:firstLine="0"/>
              <w:rPr>
                <w:sz w:val="16"/>
                <w:szCs w:val="16"/>
              </w:rPr>
            </w:pPr>
            <w:r w:rsidRPr="009020D6">
              <w:rPr>
                <w:sz w:val="16"/>
                <w:szCs w:val="16"/>
              </w:rPr>
              <w:t>C</w:t>
            </w:r>
          </w:p>
        </w:tc>
        <w:tc>
          <w:tcPr>
            <w:tcW w:w="1124" w:type="dxa"/>
            <w:tcBorders>
              <w:left w:val="nil"/>
              <w:bottom w:val="single" w:sz="6" w:space="0" w:color="000000"/>
              <w:right w:val="nil"/>
            </w:tcBorders>
            <w:shd w:val="clear" w:color="auto" w:fill="FFFFFF"/>
          </w:tcPr>
          <w:p w14:paraId="06409F87" w14:textId="77777777" w:rsidR="00DB67AE" w:rsidRPr="009020D6" w:rsidRDefault="00DB67AE" w:rsidP="00962124">
            <w:pPr>
              <w:ind w:firstLine="0"/>
              <w:rPr>
                <w:sz w:val="16"/>
                <w:szCs w:val="16"/>
              </w:rPr>
            </w:pPr>
            <w:r w:rsidRPr="009020D6">
              <w:rPr>
                <w:sz w:val="16"/>
                <w:szCs w:val="16"/>
              </w:rPr>
              <w:t>C</w:t>
            </w:r>
          </w:p>
        </w:tc>
        <w:tc>
          <w:tcPr>
            <w:tcW w:w="1124" w:type="dxa"/>
            <w:tcBorders>
              <w:left w:val="nil"/>
              <w:bottom w:val="single" w:sz="6" w:space="0" w:color="000000"/>
              <w:right w:val="nil"/>
            </w:tcBorders>
            <w:shd w:val="clear" w:color="auto" w:fill="FFFFFF"/>
          </w:tcPr>
          <w:p w14:paraId="7834BE1B" w14:textId="77777777" w:rsidR="00DB67AE" w:rsidRPr="009020D6" w:rsidRDefault="00DB67AE" w:rsidP="00962124">
            <w:pPr>
              <w:ind w:firstLine="0"/>
              <w:rPr>
                <w:sz w:val="16"/>
                <w:szCs w:val="16"/>
              </w:rPr>
            </w:pPr>
            <w:r w:rsidRPr="009020D6">
              <w:rPr>
                <w:sz w:val="16"/>
                <w:szCs w:val="16"/>
              </w:rPr>
              <w:t>Z</w:t>
            </w:r>
          </w:p>
        </w:tc>
        <w:tc>
          <w:tcPr>
            <w:tcW w:w="1124" w:type="dxa"/>
            <w:tcBorders>
              <w:left w:val="nil"/>
              <w:bottom w:val="single" w:sz="6" w:space="0" w:color="000000"/>
              <w:right w:val="nil"/>
            </w:tcBorders>
            <w:shd w:val="clear" w:color="auto" w:fill="FFFFFF"/>
          </w:tcPr>
          <w:p w14:paraId="1A6DF744" w14:textId="77777777" w:rsidR="00DB67AE" w:rsidRPr="009020D6" w:rsidRDefault="00DB67AE" w:rsidP="00962124">
            <w:pPr>
              <w:ind w:firstLine="0"/>
              <w:rPr>
                <w:sz w:val="16"/>
                <w:szCs w:val="16"/>
              </w:rPr>
            </w:pPr>
            <w:r w:rsidRPr="009020D6">
              <w:rPr>
                <w:sz w:val="16"/>
                <w:szCs w:val="16"/>
              </w:rPr>
              <w:t>Z</w:t>
            </w:r>
          </w:p>
        </w:tc>
        <w:tc>
          <w:tcPr>
            <w:tcW w:w="1124" w:type="dxa"/>
            <w:tcBorders>
              <w:left w:val="nil"/>
              <w:bottom w:val="single" w:sz="6" w:space="0" w:color="000000"/>
              <w:right w:val="nil"/>
            </w:tcBorders>
            <w:shd w:val="clear" w:color="auto" w:fill="FFFFFF"/>
          </w:tcPr>
          <w:p w14:paraId="07B39D16" w14:textId="77777777" w:rsidR="00DB67AE" w:rsidRPr="009020D6" w:rsidRDefault="00DB67AE" w:rsidP="00962124">
            <w:pPr>
              <w:ind w:firstLine="0"/>
              <w:rPr>
                <w:sz w:val="16"/>
                <w:szCs w:val="16"/>
              </w:rPr>
            </w:pPr>
            <w:r w:rsidRPr="009020D6">
              <w:rPr>
                <w:sz w:val="16"/>
                <w:szCs w:val="16"/>
              </w:rPr>
              <w:t>Z</w:t>
            </w:r>
          </w:p>
        </w:tc>
        <w:tc>
          <w:tcPr>
            <w:tcW w:w="1124" w:type="dxa"/>
            <w:tcBorders>
              <w:left w:val="nil"/>
              <w:bottom w:val="single" w:sz="6" w:space="0" w:color="000000"/>
              <w:right w:val="nil"/>
            </w:tcBorders>
            <w:shd w:val="clear" w:color="auto" w:fill="FFFFFF"/>
          </w:tcPr>
          <w:p w14:paraId="109DFD02" w14:textId="77777777" w:rsidR="00DB67AE" w:rsidRPr="009020D6" w:rsidRDefault="00DB67AE" w:rsidP="00962124">
            <w:pPr>
              <w:ind w:firstLine="0"/>
              <w:rPr>
                <w:sz w:val="16"/>
                <w:szCs w:val="16"/>
              </w:rPr>
            </w:pPr>
            <w:r w:rsidRPr="009020D6">
              <w:rPr>
                <w:sz w:val="16"/>
                <w:szCs w:val="16"/>
              </w:rPr>
              <w:t>Z</w:t>
            </w:r>
          </w:p>
        </w:tc>
        <w:tc>
          <w:tcPr>
            <w:tcW w:w="1124" w:type="dxa"/>
            <w:tcBorders>
              <w:left w:val="nil"/>
              <w:bottom w:val="single" w:sz="6" w:space="0" w:color="000000"/>
              <w:right w:val="nil"/>
            </w:tcBorders>
            <w:shd w:val="clear" w:color="auto" w:fill="FFFFFF"/>
          </w:tcPr>
          <w:p w14:paraId="17FFE90E" w14:textId="77777777" w:rsidR="00DB67AE" w:rsidRPr="009020D6" w:rsidRDefault="00DB67AE" w:rsidP="00962124">
            <w:pPr>
              <w:ind w:firstLine="0"/>
              <w:rPr>
                <w:sz w:val="16"/>
                <w:szCs w:val="16"/>
              </w:rPr>
            </w:pPr>
            <w:r w:rsidRPr="009020D6">
              <w:rPr>
                <w:sz w:val="16"/>
                <w:szCs w:val="16"/>
              </w:rPr>
              <w:t>Z</w:t>
            </w:r>
          </w:p>
        </w:tc>
        <w:tc>
          <w:tcPr>
            <w:tcW w:w="1124" w:type="dxa"/>
            <w:tcBorders>
              <w:left w:val="nil"/>
              <w:bottom w:val="single" w:sz="6" w:space="0" w:color="000000"/>
              <w:right w:val="nil"/>
            </w:tcBorders>
            <w:shd w:val="clear" w:color="auto" w:fill="FFFFFF"/>
          </w:tcPr>
          <w:p w14:paraId="4F9C81D2" w14:textId="77777777" w:rsidR="00DB67AE" w:rsidRPr="009020D6" w:rsidRDefault="00DB67AE" w:rsidP="00962124">
            <w:pPr>
              <w:ind w:firstLine="0"/>
              <w:rPr>
                <w:sz w:val="16"/>
                <w:szCs w:val="16"/>
              </w:rPr>
            </w:pPr>
            <w:r w:rsidRPr="009020D6">
              <w:rPr>
                <w:sz w:val="16"/>
                <w:szCs w:val="16"/>
              </w:rPr>
              <w:t>Z</w:t>
            </w:r>
          </w:p>
        </w:tc>
      </w:tr>
    </w:tbl>
    <w:p w14:paraId="15A368B6" w14:textId="5F717386" w:rsidR="00DB67AE" w:rsidRPr="00D157F1" w:rsidRDefault="00D157F1" w:rsidP="00D157F1">
      <w:pPr>
        <w:ind w:firstLine="0"/>
        <w:rPr>
          <w:rFonts w:cs="Nirmala UI Semilight"/>
          <w:b/>
          <w:sz w:val="16"/>
          <w:szCs w:val="16"/>
        </w:rPr>
        <w:sectPr w:rsidR="00DB67AE" w:rsidRPr="00D157F1" w:rsidSect="00DB67AE">
          <w:type w:val="continuous"/>
          <w:pgSz w:w="11906" w:h="16838"/>
          <w:pgMar w:top="1134" w:right="851" w:bottom="1134" w:left="851" w:header="709" w:footer="709" w:gutter="0"/>
          <w:cols w:space="284"/>
          <w:docGrid w:linePitch="360"/>
        </w:sectPr>
      </w:pPr>
      <w:r w:rsidRPr="00D157F1">
        <w:rPr>
          <w:rFonts w:cs="Nirmala UI Semilight"/>
          <w:b/>
          <w:szCs w:val="18"/>
        </w:rPr>
        <w:t xml:space="preserve">              </w:t>
      </w:r>
      <w:r w:rsidRPr="00D157F1">
        <w:rPr>
          <w:rFonts w:cs="Nirmala UI Semilight"/>
          <w:b/>
          <w:sz w:val="16"/>
          <w:szCs w:val="16"/>
        </w:rPr>
        <w:t xml:space="preserve">Kaynak: </w:t>
      </w:r>
      <w:r>
        <w:rPr>
          <w:rFonts w:cs="Nirmala UI Semilight"/>
          <w:b/>
          <w:sz w:val="16"/>
          <w:szCs w:val="16"/>
        </w:rPr>
        <w:t xml:space="preserve">   </w:t>
      </w:r>
      <w:r>
        <w:rPr>
          <w:rFonts w:cs="Nirmala UI Semilight"/>
          <w:sz w:val="16"/>
          <w:szCs w:val="16"/>
        </w:rPr>
        <w:t>Eryılmaz, 2018: 82</w:t>
      </w:r>
    </w:p>
    <w:p w14:paraId="4253EF6A" w14:textId="5928EF6F" w:rsidR="00604434" w:rsidRPr="009020D6" w:rsidRDefault="00604434" w:rsidP="00604434">
      <w:pPr>
        <w:pStyle w:val="Balk1"/>
        <w:rPr>
          <w:rFonts w:eastAsiaTheme="minorHAnsi"/>
        </w:rPr>
      </w:pPr>
      <w:r w:rsidRPr="009020D6">
        <w:rPr>
          <w:rFonts w:eastAsiaTheme="minorHAnsi"/>
        </w:rPr>
        <w:lastRenderedPageBreak/>
        <w:t xml:space="preserve">3. </w:t>
      </w:r>
      <w:r w:rsidR="00AB2062" w:rsidRPr="009020D6">
        <w:rPr>
          <w:rFonts w:eastAsiaTheme="minorHAnsi"/>
        </w:rPr>
        <w:t>Sayfa N</w:t>
      </w:r>
      <w:r w:rsidRPr="009020D6">
        <w:rPr>
          <w:rFonts w:eastAsiaTheme="minorHAnsi"/>
        </w:rPr>
        <w:t>umaraları</w:t>
      </w:r>
    </w:p>
    <w:p w14:paraId="29148456" w14:textId="64F963F7" w:rsidR="00604434" w:rsidRPr="009020D6" w:rsidRDefault="00CE4FDA" w:rsidP="00604434">
      <w:pPr>
        <w:rPr>
          <w:rFonts w:cs="Nirmala UI Semilight"/>
          <w:szCs w:val="18"/>
        </w:rPr>
      </w:pPr>
      <w:r w:rsidRPr="009020D6">
        <w:rPr>
          <w:rFonts w:cs="Nirmala UI Semilight"/>
          <w:szCs w:val="18"/>
        </w:rPr>
        <w:t>Çalışmaya</w:t>
      </w:r>
      <w:r w:rsidR="00604434" w:rsidRPr="009020D6">
        <w:rPr>
          <w:rFonts w:cs="Nirmala UI Semilight"/>
          <w:szCs w:val="18"/>
        </w:rPr>
        <w:t xml:space="preserve"> sayfa numara</w:t>
      </w:r>
      <w:r w:rsidRPr="009020D6">
        <w:rPr>
          <w:rFonts w:cs="Nirmala UI Semilight"/>
          <w:szCs w:val="18"/>
        </w:rPr>
        <w:t>ları eklenmemelidir. Çalışmada</w:t>
      </w:r>
      <w:r w:rsidR="00604434" w:rsidRPr="009020D6">
        <w:rPr>
          <w:rFonts w:cs="Nirmala UI Semilight"/>
          <w:szCs w:val="18"/>
        </w:rPr>
        <w:t xml:space="preserve"> sayfa başlığı veya altlığı şeklinde üst ve alt bilgi kullanılmamalıdır. Bu gibi düzenlemeler </w:t>
      </w:r>
      <w:r w:rsidR="00C81A7C" w:rsidRPr="009020D6">
        <w:rPr>
          <w:rFonts w:cs="Nirmala UI Semilight"/>
          <w:szCs w:val="18"/>
        </w:rPr>
        <w:t>editör kurulu tarafınca</w:t>
      </w:r>
      <w:r w:rsidR="00604434" w:rsidRPr="009020D6">
        <w:rPr>
          <w:rFonts w:cs="Nirmala UI Semilight"/>
          <w:szCs w:val="18"/>
        </w:rPr>
        <w:t xml:space="preserve"> yapılacaktır. </w:t>
      </w:r>
    </w:p>
    <w:p w14:paraId="13258E05" w14:textId="77777777" w:rsidR="00604434" w:rsidRPr="009020D6" w:rsidRDefault="00604434" w:rsidP="00604434">
      <w:pPr>
        <w:pStyle w:val="Balk1"/>
      </w:pPr>
      <w:r w:rsidRPr="009020D6">
        <w:t>4. Referanslar</w:t>
      </w:r>
    </w:p>
    <w:p w14:paraId="22C600D4" w14:textId="28C8161F" w:rsidR="00604434" w:rsidRPr="009020D6" w:rsidRDefault="00604434" w:rsidP="00604434">
      <w:pPr>
        <w:rPr>
          <w:rFonts w:cs="Nirmala UI Semilight"/>
          <w:szCs w:val="18"/>
        </w:rPr>
      </w:pPr>
      <w:r w:rsidRPr="009020D6">
        <w:rPr>
          <w:rFonts w:cs="Nirmala UI Semilight"/>
          <w:szCs w:val="18"/>
        </w:rPr>
        <w:t>Metin içerisindeki atıflar APA 6. Edisyona göre yapılmalıdır.</w:t>
      </w:r>
      <w:r w:rsidR="00C81A7C" w:rsidRPr="009020D6">
        <w:rPr>
          <w:rFonts w:cs="Nirmala UI Semilight"/>
          <w:szCs w:val="18"/>
        </w:rPr>
        <w:t xml:space="preserve"> Kaynak listesi çalışmanın</w:t>
      </w:r>
      <w:r w:rsidRPr="009020D6">
        <w:rPr>
          <w:rFonts w:cs="Nirmala UI Semilight"/>
          <w:szCs w:val="18"/>
        </w:rPr>
        <w:t xml:space="preserve"> sonunda alfabetik şekilde yapılmalıdır. Metin içerisinde birden fazla yayına atıf yapılabilir. Metin içi referanslar için örnekler aşağıda verilmiştir. </w:t>
      </w:r>
    </w:p>
    <w:p w14:paraId="568DA403" w14:textId="1C6EC9D1" w:rsidR="005C36E6" w:rsidRPr="005C36E6" w:rsidRDefault="005C36E6" w:rsidP="00604434">
      <w:pPr>
        <w:rPr>
          <w:rFonts w:cs="Nirmala UI Semilight"/>
          <w:b/>
          <w:bCs/>
          <w:szCs w:val="18"/>
        </w:rPr>
      </w:pPr>
      <w:r>
        <w:rPr>
          <w:rFonts w:cs="Nirmala UI Semilight"/>
          <w:b/>
          <w:bCs/>
          <w:i/>
          <w:szCs w:val="18"/>
        </w:rPr>
        <w:t>Metin içi göndermeler</w:t>
      </w:r>
    </w:p>
    <w:p w14:paraId="211A8289" w14:textId="12D9F04B" w:rsidR="00604434" w:rsidRPr="009020D6" w:rsidRDefault="00604434" w:rsidP="00604434">
      <w:pPr>
        <w:rPr>
          <w:rFonts w:cs="Nirmala UI Semilight"/>
          <w:szCs w:val="18"/>
        </w:rPr>
      </w:pPr>
      <w:r w:rsidRPr="009020D6">
        <w:rPr>
          <w:rFonts w:cs="Nirmala UI Semilight"/>
          <w:szCs w:val="18"/>
        </w:rPr>
        <w:t>Gönderme en temelde iki şekilde yapılır:</w:t>
      </w:r>
    </w:p>
    <w:p w14:paraId="110E7A1E" w14:textId="77777777" w:rsidR="00CB46F2" w:rsidRPr="009020D6" w:rsidRDefault="00604434" w:rsidP="00CB46F2">
      <w:pPr>
        <w:rPr>
          <w:rFonts w:cs="Nirmala UI Semilight"/>
          <w:szCs w:val="18"/>
        </w:rPr>
      </w:pPr>
      <w:r w:rsidRPr="009020D6">
        <w:rPr>
          <w:rFonts w:cs="Nirmala UI Semilight"/>
          <w:szCs w:val="18"/>
        </w:rPr>
        <w:t>1975’den Kasım 1989’daki Berlin Duvarı’nın yıkılışına kadar Amerika Birleşik Devletleri yalnızca altı defa dış ülkelere askeri operasyon gerçekleştirirken, 1989’dan 2004’e kadar dokuz büyük askeri operasyon yapılmış ve gönderilen askerlerin sayısı yüz binleri bulmuştur (</w:t>
      </w:r>
      <w:proofErr w:type="spellStart"/>
      <w:r w:rsidRPr="009020D6">
        <w:rPr>
          <w:rFonts w:cs="Nirmala UI Semilight"/>
          <w:szCs w:val="18"/>
        </w:rPr>
        <w:t>Gray</w:t>
      </w:r>
      <w:proofErr w:type="spellEnd"/>
      <w:r w:rsidRPr="009020D6">
        <w:rPr>
          <w:rFonts w:cs="Nirmala UI Semilight"/>
          <w:szCs w:val="18"/>
        </w:rPr>
        <w:t>, 2005: 14).</w:t>
      </w:r>
      <w:r w:rsidR="00CB46F2" w:rsidRPr="009020D6">
        <w:rPr>
          <w:rFonts w:cs="Nirmala UI Semilight"/>
          <w:szCs w:val="18"/>
        </w:rPr>
        <w:t xml:space="preserve"> </w:t>
      </w:r>
    </w:p>
    <w:p w14:paraId="736F9B26" w14:textId="77777777" w:rsidR="00604434" w:rsidRPr="009020D6" w:rsidRDefault="00604434" w:rsidP="00CB46F2">
      <w:pPr>
        <w:rPr>
          <w:rFonts w:cs="Nirmala UI Semilight"/>
          <w:szCs w:val="18"/>
        </w:rPr>
      </w:pPr>
      <w:r w:rsidRPr="009020D6">
        <w:rPr>
          <w:rFonts w:cs="Nirmala UI Semilight"/>
          <w:iCs/>
          <w:szCs w:val="18"/>
        </w:rPr>
        <w:t>veya</w:t>
      </w:r>
    </w:p>
    <w:p w14:paraId="1BA0013C" w14:textId="77777777" w:rsidR="00604434" w:rsidRPr="009020D6" w:rsidRDefault="00757985" w:rsidP="00604434">
      <w:pPr>
        <w:rPr>
          <w:rFonts w:cs="Nirmala UI Semilight"/>
          <w:szCs w:val="18"/>
        </w:rPr>
      </w:pPr>
      <w:proofErr w:type="spellStart"/>
      <w:r w:rsidRPr="009020D6">
        <w:rPr>
          <w:rFonts w:cs="Nirmala UI Semilight"/>
          <w:szCs w:val="18"/>
        </w:rPr>
        <w:t>Feroz</w:t>
      </w:r>
      <w:proofErr w:type="spellEnd"/>
      <w:r w:rsidRPr="009020D6">
        <w:rPr>
          <w:rFonts w:cs="Nirmala UI Semilight"/>
          <w:szCs w:val="18"/>
        </w:rPr>
        <w:t xml:space="preserve"> </w:t>
      </w:r>
      <w:proofErr w:type="spellStart"/>
      <w:r w:rsidRPr="009020D6">
        <w:rPr>
          <w:rFonts w:cs="Nirmala UI Semilight"/>
          <w:szCs w:val="18"/>
        </w:rPr>
        <w:t>Ahmad'a</w:t>
      </w:r>
      <w:proofErr w:type="spellEnd"/>
      <w:r w:rsidRPr="009020D6">
        <w:rPr>
          <w:rFonts w:cs="Nirmala UI Semilight"/>
          <w:szCs w:val="18"/>
        </w:rPr>
        <w:t xml:space="preserve"> (2012: </w:t>
      </w:r>
      <w:r w:rsidR="00604434" w:rsidRPr="009020D6">
        <w:rPr>
          <w:rFonts w:cs="Nirmala UI Semilight"/>
          <w:szCs w:val="18"/>
        </w:rPr>
        <w:t>101) göre harf inkılâbının en önemli amaçlarından biri, yeni Türkiye'de okuryazarlık sürecinin ve eğitiminin hızlandırılmasıydı.</w:t>
      </w:r>
    </w:p>
    <w:p w14:paraId="645C1B29" w14:textId="52C68C2A" w:rsidR="00604434" w:rsidRPr="005C36E6" w:rsidRDefault="00604434" w:rsidP="00604434">
      <w:pPr>
        <w:rPr>
          <w:rFonts w:cs="Nirmala UI Semilight"/>
          <w:b/>
          <w:szCs w:val="18"/>
        </w:rPr>
      </w:pPr>
      <w:r w:rsidRPr="005C36E6">
        <w:rPr>
          <w:rFonts w:cs="Nirmala UI Semilight"/>
          <w:b/>
          <w:bCs/>
          <w:i/>
          <w:iCs/>
          <w:szCs w:val="18"/>
        </w:rPr>
        <w:t>İk</w:t>
      </w:r>
      <w:r w:rsidR="005C36E6">
        <w:rPr>
          <w:rFonts w:cs="Nirmala UI Semilight"/>
          <w:b/>
          <w:bCs/>
          <w:i/>
          <w:iCs/>
          <w:szCs w:val="18"/>
        </w:rPr>
        <w:t>i yazarlı esere atıf</w:t>
      </w:r>
    </w:p>
    <w:p w14:paraId="3C8ACEDC" w14:textId="77777777" w:rsidR="00CB46F2" w:rsidRPr="009020D6" w:rsidRDefault="00604434" w:rsidP="00CB46F2">
      <w:pPr>
        <w:rPr>
          <w:rFonts w:cs="Nirmala UI Semilight"/>
          <w:szCs w:val="18"/>
        </w:rPr>
      </w:pPr>
      <w:r w:rsidRPr="009020D6">
        <w:rPr>
          <w:rFonts w:cs="Nirmala UI Semilight"/>
          <w:szCs w:val="18"/>
        </w:rPr>
        <w:t>Trans Pasifik Antlaşması, son yıllarda küresel ölçekteki en büyük antlaşmalardan biridir (</w:t>
      </w:r>
      <w:proofErr w:type="spellStart"/>
      <w:r w:rsidRPr="009020D6">
        <w:rPr>
          <w:rFonts w:cs="Nirmala UI Semilight"/>
          <w:szCs w:val="18"/>
        </w:rPr>
        <w:t>Green</w:t>
      </w:r>
      <w:proofErr w:type="spellEnd"/>
      <w:r w:rsidRPr="009020D6">
        <w:rPr>
          <w:rFonts w:cs="Nirmala UI Semilight"/>
          <w:szCs w:val="18"/>
        </w:rPr>
        <w:t xml:space="preserve"> ve </w:t>
      </w:r>
      <w:proofErr w:type="spellStart"/>
      <w:r w:rsidRPr="009020D6">
        <w:rPr>
          <w:rFonts w:cs="Nirmala UI Semilight"/>
          <w:szCs w:val="18"/>
        </w:rPr>
        <w:t>Goodman</w:t>
      </w:r>
      <w:proofErr w:type="spellEnd"/>
      <w:r w:rsidRPr="009020D6">
        <w:rPr>
          <w:rFonts w:cs="Nirmala UI Semilight"/>
          <w:szCs w:val="18"/>
        </w:rPr>
        <w:t>, 2015: 45).</w:t>
      </w:r>
      <w:r w:rsidR="00CB46F2" w:rsidRPr="009020D6">
        <w:rPr>
          <w:rFonts w:cs="Nirmala UI Semilight"/>
          <w:szCs w:val="18"/>
        </w:rPr>
        <w:t xml:space="preserve"> </w:t>
      </w:r>
    </w:p>
    <w:p w14:paraId="342E9508" w14:textId="77777777" w:rsidR="00604434" w:rsidRPr="009020D6" w:rsidRDefault="00604434" w:rsidP="00CB46F2">
      <w:pPr>
        <w:rPr>
          <w:rFonts w:cs="Nirmala UI Semilight"/>
          <w:szCs w:val="18"/>
        </w:rPr>
      </w:pPr>
      <w:r w:rsidRPr="009020D6">
        <w:rPr>
          <w:rFonts w:cs="Nirmala UI Semilight"/>
          <w:szCs w:val="18"/>
        </w:rPr>
        <w:t>veya</w:t>
      </w:r>
    </w:p>
    <w:p w14:paraId="7A1815D7" w14:textId="77777777" w:rsidR="00604434" w:rsidRPr="009020D6" w:rsidRDefault="00604434" w:rsidP="00604434">
      <w:pPr>
        <w:rPr>
          <w:rFonts w:cs="Nirmala UI Semilight"/>
          <w:szCs w:val="18"/>
        </w:rPr>
      </w:pPr>
      <w:proofErr w:type="spellStart"/>
      <w:r w:rsidRPr="009020D6">
        <w:rPr>
          <w:rFonts w:cs="Nirmala UI Semilight"/>
          <w:szCs w:val="18"/>
        </w:rPr>
        <w:t>Green</w:t>
      </w:r>
      <w:proofErr w:type="spellEnd"/>
      <w:r w:rsidRPr="009020D6">
        <w:rPr>
          <w:rFonts w:cs="Nirmala UI Semilight"/>
          <w:szCs w:val="18"/>
        </w:rPr>
        <w:t xml:space="preserve"> ve </w:t>
      </w:r>
      <w:proofErr w:type="spellStart"/>
      <w:r w:rsidRPr="009020D6">
        <w:rPr>
          <w:rFonts w:cs="Nirmala UI Semilight"/>
          <w:szCs w:val="18"/>
        </w:rPr>
        <w:t>Goodman'a</w:t>
      </w:r>
      <w:proofErr w:type="spellEnd"/>
      <w:r w:rsidRPr="009020D6">
        <w:rPr>
          <w:rFonts w:cs="Nirmala UI Semilight"/>
          <w:szCs w:val="18"/>
        </w:rPr>
        <w:t xml:space="preserve"> (2015: 45) göre Trans Pasifik Antlaşması, son yıllarda küresel ölçekteki en büyük antlaşmalardan biridir.</w:t>
      </w:r>
    </w:p>
    <w:p w14:paraId="25FC0EA9" w14:textId="77777777" w:rsidR="005C36E6" w:rsidRDefault="00604434" w:rsidP="00604434">
      <w:pPr>
        <w:rPr>
          <w:rFonts w:cs="Nirmala UI Semilight"/>
          <w:bCs/>
          <w:i/>
          <w:iCs/>
          <w:szCs w:val="18"/>
        </w:rPr>
      </w:pPr>
      <w:r w:rsidRPr="005C36E6">
        <w:rPr>
          <w:rFonts w:cs="Nirmala UI Semilight"/>
          <w:b/>
          <w:bCs/>
          <w:i/>
          <w:iCs/>
          <w:szCs w:val="18"/>
        </w:rPr>
        <w:t>Üç veya daha fazla yazarlı eserlere atıf</w:t>
      </w:r>
      <w:r w:rsidRPr="009020D6">
        <w:rPr>
          <w:rFonts w:cs="Nirmala UI Semilight"/>
          <w:bCs/>
          <w:i/>
          <w:iCs/>
          <w:szCs w:val="18"/>
        </w:rPr>
        <w:t xml:space="preserve"> </w:t>
      </w:r>
    </w:p>
    <w:p w14:paraId="090AD351" w14:textId="60C58315" w:rsidR="00604434" w:rsidRPr="009020D6" w:rsidRDefault="005C36E6" w:rsidP="00604434">
      <w:pPr>
        <w:rPr>
          <w:rFonts w:cs="Nirmala UI Semilight"/>
          <w:szCs w:val="18"/>
        </w:rPr>
      </w:pPr>
      <w:r>
        <w:rPr>
          <w:rFonts w:cs="Nirmala UI Semilight"/>
          <w:szCs w:val="18"/>
        </w:rPr>
        <w:t>İ</w:t>
      </w:r>
      <w:r w:rsidR="00604434" w:rsidRPr="009020D6">
        <w:rPr>
          <w:rFonts w:cs="Nirmala UI Semilight"/>
          <w:szCs w:val="18"/>
        </w:rPr>
        <w:t xml:space="preserve">lk yazarın </w:t>
      </w:r>
      <w:r w:rsidR="00CB46F2" w:rsidRPr="009020D6">
        <w:rPr>
          <w:rFonts w:cs="Nirmala UI Semilight"/>
          <w:szCs w:val="18"/>
        </w:rPr>
        <w:t>soy isminden</w:t>
      </w:r>
      <w:r w:rsidR="00604434" w:rsidRPr="009020D6">
        <w:rPr>
          <w:rFonts w:cs="Nirmala UI Semilight"/>
          <w:szCs w:val="18"/>
        </w:rPr>
        <w:t xml:space="preserve"> sonra diğer yazarların </w:t>
      </w:r>
      <w:r w:rsidR="00CB46F2" w:rsidRPr="009020D6">
        <w:rPr>
          <w:rFonts w:cs="Nirmala UI Semilight"/>
          <w:szCs w:val="18"/>
        </w:rPr>
        <w:t>soy isimlerini</w:t>
      </w:r>
      <w:r w:rsidR="00604434" w:rsidRPr="009020D6">
        <w:rPr>
          <w:rFonts w:cs="Nirmala UI Semilight"/>
          <w:szCs w:val="18"/>
        </w:rPr>
        <w:t xml:space="preserve"> kullanmak yerine  'vd.' ifadesi kullanılır.</w:t>
      </w:r>
    </w:p>
    <w:p w14:paraId="7F5987CA" w14:textId="5ED48EBD" w:rsidR="00604434" w:rsidRPr="009020D6" w:rsidRDefault="00604434" w:rsidP="00604434">
      <w:pPr>
        <w:rPr>
          <w:rFonts w:cs="Nirmala UI Semilight"/>
          <w:szCs w:val="18"/>
        </w:rPr>
      </w:pPr>
      <w:r w:rsidRPr="009020D6">
        <w:rPr>
          <w:rFonts w:cs="Nirmala UI Semilight"/>
          <w:szCs w:val="18"/>
        </w:rPr>
        <w:t>İklim, insan karakteri üzerinde</w:t>
      </w:r>
      <w:r w:rsidR="005C36E6">
        <w:rPr>
          <w:rFonts w:cs="Nirmala UI Semilight"/>
          <w:szCs w:val="18"/>
        </w:rPr>
        <w:t xml:space="preserve"> belirleyici özelliğe sahiptir </w:t>
      </w:r>
      <w:r w:rsidRPr="009020D6">
        <w:rPr>
          <w:rFonts w:cs="Nirmala UI Semilight"/>
          <w:szCs w:val="18"/>
        </w:rPr>
        <w:t>(</w:t>
      </w:r>
      <w:proofErr w:type="spellStart"/>
      <w:r w:rsidRPr="009020D6">
        <w:rPr>
          <w:rFonts w:cs="Nirmala UI Semilight"/>
          <w:szCs w:val="18"/>
        </w:rPr>
        <w:t>Walter</w:t>
      </w:r>
      <w:proofErr w:type="spellEnd"/>
      <w:r w:rsidRPr="009020D6">
        <w:rPr>
          <w:rFonts w:cs="Nirmala UI Semilight"/>
          <w:szCs w:val="18"/>
        </w:rPr>
        <w:t xml:space="preserve"> vd., 1998: 25)</w:t>
      </w:r>
    </w:p>
    <w:p w14:paraId="28BB4785" w14:textId="77777777" w:rsidR="00604434" w:rsidRPr="009020D6" w:rsidRDefault="00604434" w:rsidP="00604434">
      <w:pPr>
        <w:rPr>
          <w:rFonts w:cs="Nirmala UI Semilight"/>
          <w:szCs w:val="18"/>
        </w:rPr>
      </w:pPr>
      <w:r w:rsidRPr="009020D6">
        <w:rPr>
          <w:rFonts w:cs="Nirmala UI Semilight"/>
          <w:szCs w:val="18"/>
        </w:rPr>
        <w:t>veya</w:t>
      </w:r>
    </w:p>
    <w:p w14:paraId="33B38BF7" w14:textId="77777777" w:rsidR="00604434" w:rsidRDefault="00604434" w:rsidP="00604434">
      <w:pPr>
        <w:rPr>
          <w:rFonts w:cs="Nirmala UI Semilight"/>
          <w:szCs w:val="18"/>
        </w:rPr>
      </w:pPr>
      <w:proofErr w:type="spellStart"/>
      <w:r w:rsidRPr="009020D6">
        <w:rPr>
          <w:rFonts w:cs="Nirmala UI Semilight"/>
          <w:szCs w:val="18"/>
        </w:rPr>
        <w:t>Walter</w:t>
      </w:r>
      <w:proofErr w:type="spellEnd"/>
      <w:r w:rsidRPr="009020D6">
        <w:rPr>
          <w:rFonts w:cs="Nirmala UI Semilight"/>
          <w:szCs w:val="18"/>
        </w:rPr>
        <w:t xml:space="preserve"> ve diğerlerine göre (1998: 25) iklim, insan karakteri üzerinde belirleyici özelliğe sahiptir.</w:t>
      </w:r>
    </w:p>
    <w:p w14:paraId="0B4A109B" w14:textId="59835E18" w:rsidR="005C36E6" w:rsidRPr="005C36E6" w:rsidRDefault="005C36E6" w:rsidP="005C36E6">
      <w:pPr>
        <w:rPr>
          <w:rFonts w:cs="Nirmala UI Semilight"/>
          <w:bCs/>
          <w:szCs w:val="18"/>
        </w:rPr>
      </w:pPr>
      <w:r w:rsidRPr="005C36E6">
        <w:rPr>
          <w:rFonts w:cs="Nirmala UI Semilight"/>
          <w:b/>
          <w:bCs/>
          <w:szCs w:val="18"/>
        </w:rPr>
        <w:t>Aynı parantez içerisinde birden çok esere atıf yapılması</w:t>
      </w:r>
    </w:p>
    <w:p w14:paraId="336BBC70" w14:textId="77777777" w:rsidR="005C36E6" w:rsidRPr="005C36E6" w:rsidRDefault="005C36E6" w:rsidP="005C36E6">
      <w:pPr>
        <w:rPr>
          <w:rFonts w:cs="Nirmala UI Semilight"/>
          <w:szCs w:val="18"/>
        </w:rPr>
      </w:pPr>
      <w:r w:rsidRPr="005C36E6">
        <w:rPr>
          <w:rFonts w:cs="Nirmala UI Semilight"/>
          <w:szCs w:val="18"/>
        </w:rPr>
        <w:t>Aynı parantez içerisinde yapılan çoklu göndermeler ilk yazarın soyadına göre alfabetik sırada olmalı ve noktalı virgül ile ayrılmalıdır.</w:t>
      </w:r>
    </w:p>
    <w:p w14:paraId="79FD73A2" w14:textId="357464C4" w:rsidR="005C36E6" w:rsidRPr="009020D6" w:rsidRDefault="005C36E6" w:rsidP="005C36E6">
      <w:pPr>
        <w:rPr>
          <w:rFonts w:cs="Nirmala UI Semilight"/>
          <w:szCs w:val="18"/>
        </w:rPr>
      </w:pPr>
      <w:r w:rsidRPr="005C36E6">
        <w:rPr>
          <w:rFonts w:cs="Nirmala UI Semilight"/>
          <w:szCs w:val="18"/>
        </w:rPr>
        <w:t>(Akbulut ve Doğan, 2013</w:t>
      </w:r>
      <w:r>
        <w:rPr>
          <w:rFonts w:cs="Nirmala UI Semilight"/>
          <w:szCs w:val="18"/>
        </w:rPr>
        <w:t>: 6</w:t>
      </w:r>
      <w:r w:rsidRPr="005C36E6">
        <w:rPr>
          <w:rFonts w:cs="Nirmala UI Semilight"/>
          <w:szCs w:val="18"/>
        </w:rPr>
        <w:t>; Şencan, 2003: 75</w:t>
      </w:r>
      <w:r>
        <w:rPr>
          <w:rFonts w:cs="Nirmala UI Semilight"/>
          <w:szCs w:val="18"/>
        </w:rPr>
        <w:t xml:space="preserve">; </w:t>
      </w:r>
      <w:proofErr w:type="spellStart"/>
      <w:r>
        <w:rPr>
          <w:rFonts w:cs="Nirmala UI Semilight"/>
          <w:szCs w:val="18"/>
        </w:rPr>
        <w:t>Tonta</w:t>
      </w:r>
      <w:proofErr w:type="spellEnd"/>
      <w:r>
        <w:rPr>
          <w:rFonts w:cs="Nirmala UI Semilight"/>
          <w:szCs w:val="18"/>
        </w:rPr>
        <w:t xml:space="preserve">, </w:t>
      </w:r>
      <w:r w:rsidRPr="005C36E6">
        <w:rPr>
          <w:rFonts w:cs="Nirmala UI Semilight"/>
          <w:szCs w:val="18"/>
        </w:rPr>
        <w:t>2010: 24).</w:t>
      </w:r>
    </w:p>
    <w:p w14:paraId="0A0D439F" w14:textId="5E45275B" w:rsidR="00CB46F2" w:rsidRPr="009020D6" w:rsidRDefault="00604434" w:rsidP="00604434">
      <w:pPr>
        <w:rPr>
          <w:rFonts w:cs="Nirmala UI Semilight"/>
          <w:b/>
          <w:bCs/>
          <w:i/>
          <w:iCs/>
          <w:szCs w:val="18"/>
        </w:rPr>
      </w:pPr>
      <w:r w:rsidRPr="005C36E6">
        <w:rPr>
          <w:rFonts w:cs="Nirmala UI Semilight"/>
          <w:b/>
          <w:bCs/>
          <w:i/>
          <w:iCs/>
          <w:szCs w:val="18"/>
        </w:rPr>
        <w:t>Tüzel yazarlı çalışmalara atıf</w:t>
      </w:r>
      <w:r w:rsidR="005C36E6">
        <w:rPr>
          <w:rFonts w:cs="Nirmala UI Semilight"/>
          <w:bCs/>
          <w:i/>
          <w:iCs/>
          <w:szCs w:val="18"/>
        </w:rPr>
        <w:t xml:space="preserve"> </w:t>
      </w:r>
    </w:p>
    <w:p w14:paraId="39E7E9C7" w14:textId="6FC7F7A3" w:rsidR="00604434" w:rsidRPr="009020D6" w:rsidRDefault="00604434" w:rsidP="00604434">
      <w:pPr>
        <w:rPr>
          <w:rFonts w:cs="Nirmala UI Semilight"/>
          <w:szCs w:val="18"/>
        </w:rPr>
      </w:pPr>
      <w:r w:rsidRPr="009020D6">
        <w:rPr>
          <w:rFonts w:cs="Nirmala UI Semilight"/>
          <w:szCs w:val="18"/>
        </w:rPr>
        <w:t>Yazar olarak bir grup/tüzel kişi (dernekler, şirketler, devlet kurumları ve diğer çalışma grupları gibi) ifade ediliyorsa bu gruba ilişkin ad bilgisi metin içindeki göndermede oldukça açık ve anlaşılır biçimde verilmelidir. Grup adı bazı durumlarda kısaltılabilir. Eğer grup adı uzunsa, kısaltma herkesçe anlaşılır oluyorsa veya ada yönelik zaten bilinen bir kısaltma var ise ilk kullanımda hem açık hali hem kısaltma hali kullanılıp, sonraki kullanımlarda ise sadece kısaltma kullanılabilir. Eğer grup adı kısa ise ve</w:t>
      </w:r>
      <w:r w:rsidR="005C36E6">
        <w:rPr>
          <w:rFonts w:cs="Nirmala UI Semilight"/>
          <w:szCs w:val="18"/>
        </w:rPr>
        <w:t>ya kısaltması herkes tarafından anlaşılmı</w:t>
      </w:r>
      <w:r w:rsidRPr="009020D6">
        <w:rPr>
          <w:rFonts w:cs="Nirmala UI Semilight"/>
          <w:szCs w:val="18"/>
        </w:rPr>
        <w:t>yorsa tüm göndermelerde adın açık hali yazılır.</w:t>
      </w:r>
    </w:p>
    <w:p w14:paraId="52D3C6EE" w14:textId="43CAE723" w:rsidR="00604434" w:rsidRPr="005C36E6" w:rsidRDefault="00604434" w:rsidP="005C36E6">
      <w:pPr>
        <w:rPr>
          <w:rFonts w:cs="Nirmala UI Semilight"/>
          <w:b/>
          <w:szCs w:val="18"/>
        </w:rPr>
      </w:pPr>
      <w:r w:rsidRPr="005C36E6">
        <w:rPr>
          <w:rFonts w:cs="Nirmala UI Semilight"/>
          <w:b/>
          <w:bCs/>
          <w:i/>
          <w:iCs/>
          <w:szCs w:val="18"/>
        </w:rPr>
        <w:t>Gönder</w:t>
      </w:r>
      <w:r w:rsidR="005C36E6">
        <w:rPr>
          <w:rFonts w:cs="Nirmala UI Semilight"/>
          <w:b/>
          <w:bCs/>
          <w:i/>
          <w:iCs/>
          <w:szCs w:val="18"/>
        </w:rPr>
        <w:t>me cümlenin sonunda yapılıyorsa</w:t>
      </w:r>
      <w:r w:rsidRPr="009020D6">
        <w:rPr>
          <w:rFonts w:cs="Nirmala UI Semilight"/>
          <w:szCs w:val="18"/>
        </w:rPr>
        <w:t xml:space="preserve">    </w:t>
      </w:r>
    </w:p>
    <w:p w14:paraId="21837A05" w14:textId="77777777" w:rsidR="00604434" w:rsidRPr="005C36E6" w:rsidRDefault="00604434" w:rsidP="00604434">
      <w:pPr>
        <w:rPr>
          <w:rFonts w:cs="Nirmala UI Semilight"/>
          <w:b/>
          <w:szCs w:val="18"/>
        </w:rPr>
      </w:pPr>
      <w:r w:rsidRPr="005C36E6">
        <w:rPr>
          <w:rFonts w:cs="Nirmala UI Semilight"/>
          <w:b/>
          <w:bCs/>
          <w:i/>
          <w:iCs/>
          <w:szCs w:val="18"/>
        </w:rPr>
        <w:t>İlk gönderme</w:t>
      </w:r>
    </w:p>
    <w:p w14:paraId="4BECD853" w14:textId="77777777" w:rsidR="00604434" w:rsidRPr="009020D6" w:rsidRDefault="00604434" w:rsidP="00604434">
      <w:pPr>
        <w:rPr>
          <w:rFonts w:cs="Nirmala UI Semilight"/>
          <w:szCs w:val="18"/>
        </w:rPr>
      </w:pPr>
      <w:r w:rsidRPr="009020D6">
        <w:rPr>
          <w:rFonts w:cs="Nirmala UI Semilight"/>
          <w:szCs w:val="18"/>
        </w:rPr>
        <w:t> (Türkiye Bilimsel ve Teknolojik Araştırma Kurumu [TÜBİTAK], 2013)</w:t>
      </w:r>
    </w:p>
    <w:p w14:paraId="5833BF11" w14:textId="77777777" w:rsidR="00604434" w:rsidRPr="005C36E6" w:rsidRDefault="00604434" w:rsidP="00604434">
      <w:pPr>
        <w:rPr>
          <w:rFonts w:cs="Nirmala UI Semilight"/>
          <w:b/>
          <w:szCs w:val="18"/>
        </w:rPr>
      </w:pPr>
      <w:r w:rsidRPr="005C36E6">
        <w:rPr>
          <w:rFonts w:cs="Nirmala UI Semilight"/>
          <w:b/>
          <w:bCs/>
          <w:i/>
          <w:iCs/>
          <w:szCs w:val="18"/>
        </w:rPr>
        <w:t>İkinci ve sonraki göndermeler</w:t>
      </w:r>
    </w:p>
    <w:p w14:paraId="5435E3FD" w14:textId="77777777" w:rsidR="00604434" w:rsidRPr="009020D6" w:rsidRDefault="00604434" w:rsidP="00604434">
      <w:pPr>
        <w:rPr>
          <w:rFonts w:cs="Nirmala UI Semilight"/>
          <w:szCs w:val="18"/>
        </w:rPr>
      </w:pPr>
      <w:r w:rsidRPr="009020D6">
        <w:rPr>
          <w:rFonts w:cs="Nirmala UI Semilight"/>
          <w:szCs w:val="18"/>
        </w:rPr>
        <w:t> (TÜBİTAK, 2013)</w:t>
      </w:r>
    </w:p>
    <w:p w14:paraId="32784192" w14:textId="77777777" w:rsidR="00604434" w:rsidRPr="005C36E6" w:rsidRDefault="00604434" w:rsidP="00604434">
      <w:pPr>
        <w:rPr>
          <w:rFonts w:cs="Nirmala UI Semilight"/>
          <w:b/>
          <w:szCs w:val="18"/>
        </w:rPr>
      </w:pPr>
      <w:r w:rsidRPr="005C36E6">
        <w:rPr>
          <w:rFonts w:cs="Nirmala UI Semilight"/>
          <w:b/>
          <w:bCs/>
          <w:i/>
          <w:iCs/>
          <w:szCs w:val="18"/>
        </w:rPr>
        <w:t>Gönderme cümle içerisinde yapılıyorsa</w:t>
      </w:r>
    </w:p>
    <w:p w14:paraId="4A783DA7" w14:textId="77777777" w:rsidR="00604434" w:rsidRPr="005C36E6" w:rsidRDefault="00604434" w:rsidP="00604434">
      <w:pPr>
        <w:rPr>
          <w:rFonts w:cs="Nirmala UI Semilight"/>
          <w:b/>
          <w:szCs w:val="18"/>
        </w:rPr>
      </w:pPr>
      <w:r w:rsidRPr="005C36E6">
        <w:rPr>
          <w:rFonts w:cs="Nirmala UI Semilight"/>
          <w:b/>
          <w:bCs/>
          <w:i/>
          <w:iCs/>
          <w:szCs w:val="18"/>
        </w:rPr>
        <w:t>İlk gönderme</w:t>
      </w:r>
    </w:p>
    <w:p w14:paraId="01E211AE" w14:textId="77777777" w:rsidR="00604434" w:rsidRPr="009020D6" w:rsidRDefault="00604434" w:rsidP="00604434">
      <w:pPr>
        <w:rPr>
          <w:rFonts w:cs="Nirmala UI Semilight"/>
          <w:szCs w:val="18"/>
        </w:rPr>
      </w:pPr>
      <w:r w:rsidRPr="009020D6">
        <w:rPr>
          <w:rFonts w:cs="Nirmala UI Semilight"/>
          <w:szCs w:val="18"/>
        </w:rPr>
        <w:t>Türkiye Bilimsel ve Teknolojik Araştırma Kurumu (TÜBİTAK, 2013)</w:t>
      </w:r>
    </w:p>
    <w:p w14:paraId="58CCE3CD" w14:textId="77777777" w:rsidR="00604434" w:rsidRPr="005C36E6" w:rsidRDefault="00604434" w:rsidP="00604434">
      <w:pPr>
        <w:rPr>
          <w:rFonts w:cs="Nirmala UI Semilight"/>
          <w:b/>
          <w:szCs w:val="18"/>
        </w:rPr>
      </w:pPr>
      <w:r w:rsidRPr="005C36E6">
        <w:rPr>
          <w:rFonts w:cs="Nirmala UI Semilight"/>
          <w:b/>
          <w:bCs/>
          <w:i/>
          <w:iCs/>
          <w:szCs w:val="18"/>
        </w:rPr>
        <w:t>İkinci ve sonraki göndermeler</w:t>
      </w:r>
    </w:p>
    <w:p w14:paraId="474C1407" w14:textId="77777777" w:rsidR="00604434" w:rsidRPr="009020D6" w:rsidRDefault="00604434" w:rsidP="00604434">
      <w:pPr>
        <w:rPr>
          <w:rFonts w:cs="Nirmala UI Semilight"/>
          <w:szCs w:val="18"/>
        </w:rPr>
      </w:pPr>
      <w:r w:rsidRPr="009020D6">
        <w:rPr>
          <w:rFonts w:cs="Nirmala UI Semilight"/>
          <w:szCs w:val="18"/>
        </w:rPr>
        <w:t>TÜBİTAK (2013)</w:t>
      </w:r>
    </w:p>
    <w:p w14:paraId="24F1B398" w14:textId="77777777" w:rsidR="00604434" w:rsidRPr="009020D6" w:rsidRDefault="00604434" w:rsidP="00604434">
      <w:pPr>
        <w:rPr>
          <w:rFonts w:cs="Nirmala UI Semilight"/>
          <w:szCs w:val="18"/>
        </w:rPr>
      </w:pPr>
    </w:p>
    <w:p w14:paraId="3DF8F9F8" w14:textId="604C09FB" w:rsidR="00D220DC" w:rsidRPr="009020D6" w:rsidRDefault="00CB46F2" w:rsidP="00CB46F2">
      <w:pPr>
        <w:pStyle w:val="Balk1"/>
      </w:pPr>
      <w:r w:rsidRPr="009020D6">
        <w:t xml:space="preserve">5. Kaynakça </w:t>
      </w:r>
      <w:r w:rsidR="00AB2062" w:rsidRPr="009020D6">
        <w:t>G</w:t>
      </w:r>
      <w:r w:rsidRPr="009020D6">
        <w:t>österimi</w:t>
      </w:r>
    </w:p>
    <w:p w14:paraId="139A836D" w14:textId="510D4507" w:rsidR="00CA3041" w:rsidRPr="009020D6" w:rsidRDefault="00CA3041" w:rsidP="00CA3041">
      <w:pPr>
        <w:ind w:firstLine="284"/>
        <w:rPr>
          <w:rFonts w:cs="Nirmala UI Semilight"/>
          <w:szCs w:val="18"/>
        </w:rPr>
      </w:pPr>
      <w:r w:rsidRPr="009020D6">
        <w:rPr>
          <w:rFonts w:cs="Nirmala UI Semilight"/>
          <w:szCs w:val="18"/>
        </w:rPr>
        <w:t>Kaynakça başlığı numaralandırılmamalıdır.</w:t>
      </w:r>
      <w:r w:rsidRPr="009020D6">
        <w:t xml:space="preserve"> </w:t>
      </w:r>
      <w:proofErr w:type="spellStart"/>
      <w:r w:rsidR="00CB46F2" w:rsidRPr="009020D6">
        <w:t>Sitka</w:t>
      </w:r>
      <w:proofErr w:type="spellEnd"/>
      <w:r w:rsidR="00CB46F2" w:rsidRPr="009020D6">
        <w:t xml:space="preserve"> </w:t>
      </w:r>
      <w:proofErr w:type="spellStart"/>
      <w:r w:rsidR="00CB46F2" w:rsidRPr="009020D6">
        <w:t>Display</w:t>
      </w:r>
      <w:proofErr w:type="spellEnd"/>
      <w:r w:rsidR="00CB46F2" w:rsidRPr="009020D6">
        <w:t xml:space="preserve"> yazı tipi 8</w:t>
      </w:r>
      <w:r w:rsidR="00CB46F2" w:rsidRPr="009020D6">
        <w:rPr>
          <w:rFonts w:cs="Nirmala UI Semilight"/>
          <w:szCs w:val="18"/>
        </w:rPr>
        <w:t xml:space="preserve"> punto normal, tek satır aralığında, paragraf aralığı önce ve sonra sıfır(0) </w:t>
      </w:r>
      <w:proofErr w:type="spellStart"/>
      <w:r w:rsidR="00CB46F2" w:rsidRPr="009020D6">
        <w:rPr>
          <w:rFonts w:cs="Nirmala UI Semilight"/>
          <w:szCs w:val="18"/>
        </w:rPr>
        <w:t>nk</w:t>
      </w:r>
      <w:proofErr w:type="spellEnd"/>
      <w:r w:rsidRPr="009020D6">
        <w:rPr>
          <w:rFonts w:cs="Nirmala UI Semilight"/>
          <w:szCs w:val="18"/>
        </w:rPr>
        <w:t xml:space="preserve"> ve paragraf başı asılı ve 0,4 cm</w:t>
      </w:r>
      <w:r w:rsidR="00CB46F2" w:rsidRPr="009020D6">
        <w:rPr>
          <w:rFonts w:cs="Nirmala UI Semilight"/>
          <w:szCs w:val="18"/>
        </w:rPr>
        <w:t xml:space="preserve"> olmalıdır. </w:t>
      </w:r>
    </w:p>
    <w:p w14:paraId="7E3C370B" w14:textId="77777777" w:rsidR="00F63879" w:rsidRPr="009020D6" w:rsidRDefault="00F63879" w:rsidP="00F63879">
      <w:pPr>
        <w:rPr>
          <w:b/>
          <w:sz w:val="16"/>
          <w:szCs w:val="16"/>
        </w:rPr>
      </w:pPr>
      <w:r w:rsidRPr="009020D6">
        <w:rPr>
          <w:b/>
          <w:sz w:val="16"/>
          <w:szCs w:val="16"/>
        </w:rPr>
        <w:t>Kitap</w:t>
      </w:r>
    </w:p>
    <w:p w14:paraId="67188A45" w14:textId="77777777" w:rsidR="00F63879" w:rsidRPr="009020D6" w:rsidRDefault="00F63879" w:rsidP="00F63879">
      <w:pPr>
        <w:ind w:left="709" w:hanging="709"/>
        <w:rPr>
          <w:sz w:val="16"/>
          <w:szCs w:val="16"/>
        </w:rPr>
      </w:pPr>
      <w:r w:rsidRPr="009020D6">
        <w:rPr>
          <w:sz w:val="16"/>
          <w:szCs w:val="16"/>
        </w:rPr>
        <w:t xml:space="preserve">Seyidoğlu, H. (2020). </w:t>
      </w:r>
      <w:r w:rsidRPr="009020D6">
        <w:rPr>
          <w:i/>
          <w:sz w:val="16"/>
          <w:szCs w:val="16"/>
        </w:rPr>
        <w:t>Uluslararası İktisat, Teori, Politika ve Uygulama.</w:t>
      </w:r>
      <w:r w:rsidRPr="009020D6">
        <w:rPr>
          <w:sz w:val="16"/>
          <w:szCs w:val="16"/>
        </w:rPr>
        <w:t xml:space="preserve"> İstanbul: </w:t>
      </w:r>
      <w:proofErr w:type="spellStart"/>
      <w:r w:rsidRPr="009020D6">
        <w:rPr>
          <w:sz w:val="16"/>
          <w:szCs w:val="16"/>
        </w:rPr>
        <w:t>Güzem</w:t>
      </w:r>
      <w:proofErr w:type="spellEnd"/>
      <w:r w:rsidRPr="009020D6">
        <w:rPr>
          <w:sz w:val="16"/>
          <w:szCs w:val="16"/>
        </w:rPr>
        <w:t xml:space="preserve"> Can Yayınları. </w:t>
      </w:r>
    </w:p>
    <w:p w14:paraId="337D5AD9" w14:textId="77777777" w:rsidR="00F63879" w:rsidRPr="009020D6" w:rsidRDefault="00F63879" w:rsidP="00F63879">
      <w:pPr>
        <w:pStyle w:val="Altyaz"/>
      </w:pPr>
      <w:proofErr w:type="spellStart"/>
      <w:r w:rsidRPr="009020D6">
        <w:t>Barro</w:t>
      </w:r>
      <w:proofErr w:type="spellEnd"/>
      <w:r w:rsidRPr="009020D6">
        <w:t xml:space="preserve">, R. (1997). </w:t>
      </w:r>
      <w:proofErr w:type="spellStart"/>
      <w:r w:rsidRPr="009020D6">
        <w:rPr>
          <w:i/>
        </w:rPr>
        <w:t>Determinants</w:t>
      </w:r>
      <w:proofErr w:type="spellEnd"/>
      <w:r w:rsidRPr="009020D6">
        <w:rPr>
          <w:i/>
        </w:rPr>
        <w:t xml:space="preserve"> of </w:t>
      </w:r>
      <w:proofErr w:type="spellStart"/>
      <w:r w:rsidRPr="009020D6">
        <w:rPr>
          <w:i/>
        </w:rPr>
        <w:t>Economic</w:t>
      </w:r>
      <w:proofErr w:type="spellEnd"/>
      <w:r w:rsidRPr="009020D6">
        <w:rPr>
          <w:i/>
        </w:rPr>
        <w:t xml:space="preserve"> </w:t>
      </w:r>
      <w:proofErr w:type="spellStart"/>
      <w:r w:rsidRPr="009020D6">
        <w:rPr>
          <w:i/>
        </w:rPr>
        <w:t>Growth</w:t>
      </w:r>
      <w:proofErr w:type="spellEnd"/>
      <w:r w:rsidRPr="009020D6">
        <w:t xml:space="preserve">. Cambridge, MA: MIT </w:t>
      </w:r>
      <w:proofErr w:type="spellStart"/>
      <w:r w:rsidRPr="009020D6">
        <w:t>Press</w:t>
      </w:r>
      <w:proofErr w:type="spellEnd"/>
      <w:r w:rsidRPr="009020D6">
        <w:t>.</w:t>
      </w:r>
    </w:p>
    <w:p w14:paraId="6B13123E" w14:textId="480EA4E5" w:rsidR="00F63879" w:rsidRPr="009020D6" w:rsidRDefault="00F63879" w:rsidP="00F63879">
      <w:pPr>
        <w:rPr>
          <w:sz w:val="16"/>
          <w:szCs w:val="16"/>
        </w:rPr>
      </w:pPr>
      <w:r w:rsidRPr="009020D6">
        <w:rPr>
          <w:sz w:val="16"/>
          <w:szCs w:val="16"/>
        </w:rPr>
        <w:t>Çeviri Kitap</w:t>
      </w:r>
    </w:p>
    <w:p w14:paraId="55AFC570" w14:textId="77777777" w:rsidR="00F63879" w:rsidRPr="009020D6" w:rsidRDefault="00F63879" w:rsidP="00F63879">
      <w:pPr>
        <w:ind w:left="709" w:hanging="709"/>
        <w:rPr>
          <w:sz w:val="16"/>
          <w:szCs w:val="16"/>
        </w:rPr>
      </w:pPr>
      <w:r w:rsidRPr="009020D6">
        <w:rPr>
          <w:sz w:val="16"/>
          <w:szCs w:val="16"/>
        </w:rPr>
        <w:t xml:space="preserve">North, D. (2002). </w:t>
      </w:r>
      <w:r w:rsidRPr="009020D6">
        <w:rPr>
          <w:i/>
          <w:sz w:val="16"/>
          <w:szCs w:val="16"/>
        </w:rPr>
        <w:t xml:space="preserve">Kurumlar, Kurumsal Değişim ve Ekonomik Performans. </w:t>
      </w:r>
      <w:r w:rsidRPr="009020D6">
        <w:rPr>
          <w:sz w:val="16"/>
          <w:szCs w:val="16"/>
        </w:rPr>
        <w:t>Gül Çağalı Güven (Çev.). İstanbul: Sabancı Üniversitesi Yayınları.</w:t>
      </w:r>
    </w:p>
    <w:p w14:paraId="53364FB3" w14:textId="77777777" w:rsidR="00F63879" w:rsidRPr="009020D6" w:rsidRDefault="00F63879" w:rsidP="00F63879">
      <w:pPr>
        <w:ind w:left="709" w:hanging="709"/>
        <w:rPr>
          <w:b/>
          <w:sz w:val="16"/>
          <w:szCs w:val="16"/>
        </w:rPr>
      </w:pPr>
      <w:r w:rsidRPr="009020D6">
        <w:rPr>
          <w:sz w:val="16"/>
          <w:szCs w:val="16"/>
        </w:rPr>
        <w:t xml:space="preserve">      </w:t>
      </w:r>
      <w:r w:rsidRPr="009020D6">
        <w:rPr>
          <w:b/>
          <w:sz w:val="16"/>
          <w:szCs w:val="16"/>
        </w:rPr>
        <w:t>Editörlü Kitap</w:t>
      </w:r>
    </w:p>
    <w:p w14:paraId="659C6316" w14:textId="77777777" w:rsidR="00F63879" w:rsidRPr="009020D6" w:rsidRDefault="00F63879" w:rsidP="00F63879">
      <w:pPr>
        <w:ind w:left="709" w:hanging="709"/>
        <w:rPr>
          <w:sz w:val="16"/>
          <w:szCs w:val="16"/>
        </w:rPr>
      </w:pPr>
      <w:r w:rsidRPr="009020D6">
        <w:rPr>
          <w:sz w:val="16"/>
          <w:szCs w:val="16"/>
        </w:rPr>
        <w:t xml:space="preserve">Eroğlu, İ. (Ed.). (2021). </w:t>
      </w:r>
      <w:r w:rsidRPr="009020D6">
        <w:rPr>
          <w:i/>
          <w:sz w:val="16"/>
          <w:szCs w:val="16"/>
        </w:rPr>
        <w:t xml:space="preserve">Türkiye’nin İktisadi Görünümü: Temel Sorunlar ve Çözüm Önerileri. </w:t>
      </w:r>
      <w:r w:rsidRPr="009020D6">
        <w:rPr>
          <w:sz w:val="16"/>
          <w:szCs w:val="16"/>
        </w:rPr>
        <w:t xml:space="preserve">Bursa: Ekin Kitapevi. </w:t>
      </w:r>
    </w:p>
    <w:p w14:paraId="3B9233C3" w14:textId="77777777" w:rsidR="00F63879" w:rsidRPr="009020D6" w:rsidRDefault="00F63879" w:rsidP="00F63879">
      <w:pPr>
        <w:ind w:left="709" w:hanging="709"/>
        <w:rPr>
          <w:sz w:val="16"/>
          <w:szCs w:val="16"/>
        </w:rPr>
      </w:pPr>
      <w:r w:rsidRPr="009020D6">
        <w:rPr>
          <w:sz w:val="16"/>
          <w:szCs w:val="16"/>
        </w:rPr>
        <w:t> </w:t>
      </w:r>
      <w:proofErr w:type="spellStart"/>
      <w:r w:rsidRPr="009020D6">
        <w:rPr>
          <w:sz w:val="16"/>
          <w:szCs w:val="16"/>
        </w:rPr>
        <w:t>Mastorakis</w:t>
      </w:r>
      <w:proofErr w:type="spellEnd"/>
      <w:r w:rsidRPr="009020D6">
        <w:rPr>
          <w:sz w:val="16"/>
          <w:szCs w:val="16"/>
        </w:rPr>
        <w:t xml:space="preserve">, N. </w:t>
      </w:r>
      <w:proofErr w:type="spellStart"/>
      <w:r w:rsidRPr="009020D6">
        <w:rPr>
          <w:sz w:val="16"/>
          <w:szCs w:val="16"/>
        </w:rPr>
        <w:t>and</w:t>
      </w:r>
      <w:proofErr w:type="spellEnd"/>
      <w:r w:rsidRPr="009020D6">
        <w:rPr>
          <w:sz w:val="16"/>
          <w:szCs w:val="16"/>
        </w:rPr>
        <w:t xml:space="preserve"> </w:t>
      </w:r>
      <w:proofErr w:type="spellStart"/>
      <w:r w:rsidRPr="009020D6">
        <w:rPr>
          <w:sz w:val="16"/>
          <w:szCs w:val="16"/>
        </w:rPr>
        <w:t>Sakellaris</w:t>
      </w:r>
      <w:proofErr w:type="spellEnd"/>
      <w:r w:rsidRPr="009020D6">
        <w:rPr>
          <w:sz w:val="16"/>
          <w:szCs w:val="16"/>
        </w:rPr>
        <w:t xml:space="preserve"> J. (</w:t>
      </w:r>
      <w:proofErr w:type="spellStart"/>
      <w:r w:rsidRPr="009020D6">
        <w:rPr>
          <w:sz w:val="16"/>
          <w:szCs w:val="16"/>
        </w:rPr>
        <w:t>Eds</w:t>
      </w:r>
      <w:proofErr w:type="spellEnd"/>
      <w:r w:rsidRPr="009020D6">
        <w:rPr>
          <w:sz w:val="16"/>
          <w:szCs w:val="16"/>
        </w:rPr>
        <w:t xml:space="preserve">.). (2009). </w:t>
      </w:r>
      <w:proofErr w:type="spellStart"/>
      <w:r w:rsidRPr="009020D6">
        <w:rPr>
          <w:i/>
          <w:sz w:val="16"/>
          <w:szCs w:val="16"/>
        </w:rPr>
        <w:t>Advances</w:t>
      </w:r>
      <w:proofErr w:type="spellEnd"/>
      <w:r w:rsidRPr="009020D6">
        <w:rPr>
          <w:i/>
          <w:sz w:val="16"/>
          <w:szCs w:val="16"/>
        </w:rPr>
        <w:t xml:space="preserve"> in </w:t>
      </w:r>
      <w:proofErr w:type="spellStart"/>
      <w:r w:rsidRPr="009020D6">
        <w:rPr>
          <w:i/>
          <w:sz w:val="16"/>
          <w:szCs w:val="16"/>
        </w:rPr>
        <w:t>Numerical</w:t>
      </w:r>
      <w:proofErr w:type="spellEnd"/>
      <w:r w:rsidRPr="009020D6">
        <w:rPr>
          <w:i/>
          <w:sz w:val="16"/>
          <w:szCs w:val="16"/>
        </w:rPr>
        <w:t xml:space="preserve"> </w:t>
      </w:r>
      <w:proofErr w:type="spellStart"/>
      <w:r w:rsidRPr="009020D6">
        <w:rPr>
          <w:i/>
          <w:sz w:val="16"/>
          <w:szCs w:val="16"/>
        </w:rPr>
        <w:t>Methods</w:t>
      </w:r>
      <w:proofErr w:type="spellEnd"/>
      <w:r w:rsidRPr="009020D6">
        <w:rPr>
          <w:sz w:val="16"/>
          <w:szCs w:val="16"/>
        </w:rPr>
        <w:t xml:space="preserve">. New York: </w:t>
      </w:r>
      <w:proofErr w:type="spellStart"/>
      <w:r w:rsidRPr="009020D6">
        <w:rPr>
          <w:sz w:val="16"/>
          <w:szCs w:val="16"/>
        </w:rPr>
        <w:t>London</w:t>
      </w:r>
      <w:proofErr w:type="spellEnd"/>
    </w:p>
    <w:p w14:paraId="72D88179" w14:textId="4E16ED9A" w:rsidR="00F63879" w:rsidRPr="009020D6" w:rsidRDefault="00F63879" w:rsidP="00F63879">
      <w:pPr>
        <w:ind w:left="709" w:hanging="709"/>
        <w:rPr>
          <w:b/>
          <w:sz w:val="16"/>
          <w:szCs w:val="16"/>
        </w:rPr>
      </w:pPr>
      <w:r w:rsidRPr="009020D6">
        <w:rPr>
          <w:sz w:val="16"/>
          <w:szCs w:val="16"/>
        </w:rPr>
        <w:t xml:space="preserve">     </w:t>
      </w:r>
      <w:r w:rsidRPr="009020D6">
        <w:rPr>
          <w:b/>
          <w:sz w:val="16"/>
          <w:szCs w:val="16"/>
        </w:rPr>
        <w:t>Editö</w:t>
      </w:r>
      <w:r w:rsidR="001606B4" w:rsidRPr="009020D6">
        <w:rPr>
          <w:b/>
          <w:sz w:val="16"/>
          <w:szCs w:val="16"/>
        </w:rPr>
        <w:t>r</w:t>
      </w:r>
      <w:r w:rsidRPr="009020D6">
        <w:rPr>
          <w:b/>
          <w:sz w:val="16"/>
          <w:szCs w:val="16"/>
        </w:rPr>
        <w:t xml:space="preserve"> Kitapta Bölüm </w:t>
      </w:r>
    </w:p>
    <w:p w14:paraId="76EC03A7" w14:textId="7AFB0470" w:rsidR="00F63879" w:rsidRPr="009020D6" w:rsidRDefault="00F63879" w:rsidP="00F63879">
      <w:pPr>
        <w:ind w:left="709" w:hanging="709"/>
        <w:rPr>
          <w:sz w:val="16"/>
          <w:szCs w:val="16"/>
        </w:rPr>
      </w:pPr>
      <w:r w:rsidRPr="00047F5F">
        <w:rPr>
          <w:sz w:val="16"/>
          <w:szCs w:val="16"/>
        </w:rPr>
        <w:t>Bocutoğlu, E. (2019). Ana Akım İktisat ve İktisadi Düşünceler Tarihi, İ. Eroğlu (</w:t>
      </w:r>
      <w:proofErr w:type="spellStart"/>
      <w:r w:rsidRPr="00047F5F">
        <w:rPr>
          <w:sz w:val="16"/>
          <w:szCs w:val="16"/>
        </w:rPr>
        <w:t>Ed</w:t>
      </w:r>
      <w:proofErr w:type="spellEnd"/>
      <w:r w:rsidRPr="00047F5F">
        <w:rPr>
          <w:sz w:val="16"/>
          <w:szCs w:val="16"/>
        </w:rPr>
        <w:t xml:space="preserve">), </w:t>
      </w:r>
      <w:r w:rsidRPr="00047F5F">
        <w:rPr>
          <w:i/>
          <w:sz w:val="16"/>
          <w:szCs w:val="16"/>
        </w:rPr>
        <w:t>İktisadi Bakış</w:t>
      </w:r>
      <w:r w:rsidRPr="00047F5F">
        <w:rPr>
          <w:sz w:val="16"/>
          <w:szCs w:val="16"/>
        </w:rPr>
        <w:t xml:space="preserve"> içinde </w:t>
      </w:r>
      <w:r w:rsidRPr="00047F5F">
        <w:rPr>
          <w:i/>
          <w:sz w:val="16"/>
          <w:szCs w:val="16"/>
        </w:rPr>
        <w:t xml:space="preserve"> </w:t>
      </w:r>
      <w:r w:rsidRPr="00047F5F">
        <w:rPr>
          <w:sz w:val="16"/>
          <w:szCs w:val="16"/>
        </w:rPr>
        <w:t>(</w:t>
      </w:r>
      <w:proofErr w:type="spellStart"/>
      <w:r w:rsidR="007A0FCE" w:rsidRPr="00047F5F">
        <w:rPr>
          <w:sz w:val="16"/>
          <w:szCs w:val="16"/>
        </w:rPr>
        <w:t>ss</w:t>
      </w:r>
      <w:proofErr w:type="spellEnd"/>
      <w:r w:rsidR="007A0FCE" w:rsidRPr="00047F5F">
        <w:rPr>
          <w:sz w:val="16"/>
          <w:szCs w:val="16"/>
        </w:rPr>
        <w:t>. 167-206</w:t>
      </w:r>
      <w:r w:rsidRPr="00047F5F">
        <w:rPr>
          <w:sz w:val="16"/>
          <w:szCs w:val="16"/>
        </w:rPr>
        <w:t>). Bursa: Ekin Kitapevi.</w:t>
      </w:r>
    </w:p>
    <w:p w14:paraId="575511E1" w14:textId="77777777" w:rsidR="00F63879" w:rsidRPr="009020D6" w:rsidRDefault="00F63879" w:rsidP="00F63879">
      <w:pPr>
        <w:ind w:left="709" w:hanging="709"/>
        <w:rPr>
          <w:sz w:val="16"/>
          <w:szCs w:val="16"/>
        </w:rPr>
      </w:pPr>
      <w:r w:rsidRPr="009020D6">
        <w:rPr>
          <w:sz w:val="16"/>
          <w:szCs w:val="16"/>
        </w:rPr>
        <w:t xml:space="preserve">Pamuk, S. (2021). </w:t>
      </w:r>
      <w:proofErr w:type="spellStart"/>
      <w:r w:rsidRPr="009020D6">
        <w:rPr>
          <w:sz w:val="16"/>
          <w:szCs w:val="16"/>
        </w:rPr>
        <w:t>Economic</w:t>
      </w:r>
      <w:proofErr w:type="spellEnd"/>
      <w:r w:rsidRPr="009020D6">
        <w:rPr>
          <w:sz w:val="16"/>
          <w:szCs w:val="16"/>
        </w:rPr>
        <w:t xml:space="preserve"> </w:t>
      </w:r>
      <w:proofErr w:type="spellStart"/>
      <w:r w:rsidRPr="009020D6">
        <w:rPr>
          <w:sz w:val="16"/>
          <w:szCs w:val="16"/>
        </w:rPr>
        <w:t>Policies</w:t>
      </w:r>
      <w:proofErr w:type="spellEnd"/>
      <w:r w:rsidRPr="009020D6">
        <w:rPr>
          <w:sz w:val="16"/>
          <w:szCs w:val="16"/>
        </w:rPr>
        <w:t xml:space="preserve">, International </w:t>
      </w:r>
      <w:proofErr w:type="spellStart"/>
      <w:r w:rsidRPr="009020D6">
        <w:rPr>
          <w:sz w:val="16"/>
          <w:szCs w:val="16"/>
        </w:rPr>
        <w:t>Change</w:t>
      </w:r>
      <w:proofErr w:type="spellEnd"/>
      <w:r w:rsidRPr="009020D6">
        <w:rPr>
          <w:sz w:val="16"/>
          <w:szCs w:val="16"/>
        </w:rPr>
        <w:t xml:space="preserve"> </w:t>
      </w:r>
      <w:proofErr w:type="spellStart"/>
      <w:r w:rsidRPr="009020D6">
        <w:rPr>
          <w:sz w:val="16"/>
          <w:szCs w:val="16"/>
        </w:rPr>
        <w:t>and</w:t>
      </w:r>
      <w:proofErr w:type="spellEnd"/>
      <w:r w:rsidRPr="009020D6">
        <w:rPr>
          <w:sz w:val="16"/>
          <w:szCs w:val="16"/>
        </w:rPr>
        <w:t xml:space="preserve"> </w:t>
      </w:r>
      <w:proofErr w:type="spellStart"/>
      <w:r w:rsidRPr="009020D6">
        <w:rPr>
          <w:sz w:val="16"/>
          <w:szCs w:val="16"/>
        </w:rPr>
        <w:t>Ekonomic</w:t>
      </w:r>
      <w:proofErr w:type="spellEnd"/>
      <w:r w:rsidRPr="009020D6">
        <w:rPr>
          <w:sz w:val="16"/>
          <w:szCs w:val="16"/>
        </w:rPr>
        <w:t xml:space="preserve"> </w:t>
      </w:r>
      <w:proofErr w:type="spellStart"/>
      <w:r w:rsidRPr="009020D6">
        <w:rPr>
          <w:sz w:val="16"/>
          <w:szCs w:val="16"/>
        </w:rPr>
        <w:t>Growth</w:t>
      </w:r>
      <w:proofErr w:type="spellEnd"/>
      <w:r w:rsidRPr="009020D6">
        <w:rPr>
          <w:sz w:val="16"/>
          <w:szCs w:val="16"/>
        </w:rPr>
        <w:t xml:space="preserve"> Since 1980, </w:t>
      </w:r>
      <w:proofErr w:type="spellStart"/>
      <w:r w:rsidRPr="009020D6">
        <w:rPr>
          <w:sz w:val="16"/>
          <w:szCs w:val="16"/>
        </w:rPr>
        <w:t>In</w:t>
      </w:r>
      <w:proofErr w:type="spellEnd"/>
      <w:r w:rsidRPr="009020D6">
        <w:rPr>
          <w:sz w:val="16"/>
          <w:szCs w:val="16"/>
        </w:rPr>
        <w:t xml:space="preserve"> A. Akat </w:t>
      </w:r>
      <w:proofErr w:type="spellStart"/>
      <w:r w:rsidRPr="009020D6">
        <w:rPr>
          <w:sz w:val="16"/>
          <w:szCs w:val="16"/>
        </w:rPr>
        <w:t>and</w:t>
      </w:r>
      <w:proofErr w:type="spellEnd"/>
      <w:r w:rsidRPr="009020D6">
        <w:rPr>
          <w:sz w:val="16"/>
          <w:szCs w:val="16"/>
        </w:rPr>
        <w:t xml:space="preserve"> S. Gürsel (</w:t>
      </w:r>
      <w:proofErr w:type="spellStart"/>
      <w:r w:rsidRPr="009020D6">
        <w:rPr>
          <w:sz w:val="16"/>
          <w:szCs w:val="16"/>
        </w:rPr>
        <w:t>Eds</w:t>
      </w:r>
      <w:proofErr w:type="spellEnd"/>
      <w:r w:rsidRPr="009020D6">
        <w:rPr>
          <w:sz w:val="16"/>
          <w:szCs w:val="16"/>
        </w:rPr>
        <w:t xml:space="preserve">), </w:t>
      </w:r>
      <w:proofErr w:type="spellStart"/>
      <w:r w:rsidRPr="009020D6">
        <w:rPr>
          <w:i/>
          <w:sz w:val="16"/>
          <w:szCs w:val="16"/>
        </w:rPr>
        <w:t>Turkish</w:t>
      </w:r>
      <w:proofErr w:type="spellEnd"/>
      <w:r w:rsidRPr="009020D6">
        <w:rPr>
          <w:i/>
          <w:sz w:val="16"/>
          <w:szCs w:val="16"/>
        </w:rPr>
        <w:t xml:space="preserve"> </w:t>
      </w:r>
      <w:proofErr w:type="spellStart"/>
      <w:r w:rsidRPr="009020D6">
        <w:rPr>
          <w:i/>
          <w:sz w:val="16"/>
          <w:szCs w:val="16"/>
        </w:rPr>
        <w:t>Economy</w:t>
      </w:r>
      <w:proofErr w:type="spellEnd"/>
      <w:r w:rsidRPr="009020D6">
        <w:rPr>
          <w:i/>
          <w:sz w:val="16"/>
          <w:szCs w:val="16"/>
        </w:rPr>
        <w:t xml:space="preserve"> at </w:t>
      </w:r>
      <w:proofErr w:type="spellStart"/>
      <w:r w:rsidRPr="009020D6">
        <w:rPr>
          <w:i/>
          <w:sz w:val="16"/>
          <w:szCs w:val="16"/>
        </w:rPr>
        <w:t>the</w:t>
      </w:r>
      <w:proofErr w:type="spellEnd"/>
      <w:r w:rsidRPr="009020D6">
        <w:rPr>
          <w:i/>
          <w:sz w:val="16"/>
          <w:szCs w:val="16"/>
        </w:rPr>
        <w:t xml:space="preserve"> </w:t>
      </w:r>
      <w:proofErr w:type="spellStart"/>
      <w:r w:rsidRPr="009020D6">
        <w:rPr>
          <w:i/>
          <w:sz w:val="16"/>
          <w:szCs w:val="16"/>
        </w:rPr>
        <w:t>Crossroads</w:t>
      </w:r>
      <w:proofErr w:type="spellEnd"/>
      <w:r w:rsidRPr="009020D6">
        <w:rPr>
          <w:i/>
          <w:sz w:val="16"/>
          <w:szCs w:val="16"/>
        </w:rPr>
        <w:t xml:space="preserve">  (</w:t>
      </w:r>
      <w:proofErr w:type="spellStart"/>
      <w:r w:rsidRPr="009020D6">
        <w:rPr>
          <w:i/>
          <w:sz w:val="16"/>
          <w:szCs w:val="16"/>
        </w:rPr>
        <w:t>pp</w:t>
      </w:r>
      <w:proofErr w:type="spellEnd"/>
      <w:r w:rsidRPr="009020D6">
        <w:rPr>
          <w:i/>
          <w:sz w:val="16"/>
          <w:szCs w:val="16"/>
        </w:rPr>
        <w:t xml:space="preserve">. </w:t>
      </w:r>
      <w:r w:rsidRPr="009020D6">
        <w:rPr>
          <w:sz w:val="16"/>
          <w:szCs w:val="16"/>
        </w:rPr>
        <w:t>1-36</w:t>
      </w:r>
      <w:r w:rsidRPr="009020D6">
        <w:rPr>
          <w:i/>
          <w:sz w:val="16"/>
          <w:szCs w:val="16"/>
        </w:rPr>
        <w:t xml:space="preserve">). </w:t>
      </w:r>
      <w:proofErr w:type="spellStart"/>
      <w:r w:rsidRPr="009020D6">
        <w:rPr>
          <w:sz w:val="16"/>
          <w:szCs w:val="16"/>
        </w:rPr>
        <w:t>Singapore</w:t>
      </w:r>
      <w:proofErr w:type="spellEnd"/>
      <w:r w:rsidRPr="009020D6">
        <w:rPr>
          <w:sz w:val="16"/>
          <w:szCs w:val="16"/>
        </w:rPr>
        <w:t xml:space="preserve">: World </w:t>
      </w:r>
      <w:proofErr w:type="spellStart"/>
      <w:r w:rsidRPr="009020D6">
        <w:rPr>
          <w:sz w:val="16"/>
          <w:szCs w:val="16"/>
        </w:rPr>
        <w:t>Scientific</w:t>
      </w:r>
      <w:proofErr w:type="spellEnd"/>
      <w:r w:rsidRPr="009020D6">
        <w:rPr>
          <w:sz w:val="16"/>
          <w:szCs w:val="16"/>
        </w:rPr>
        <w:t>.</w:t>
      </w:r>
    </w:p>
    <w:p w14:paraId="759BDA73" w14:textId="77777777" w:rsidR="00F63879" w:rsidRPr="009020D6" w:rsidRDefault="00F63879" w:rsidP="00F63879">
      <w:pPr>
        <w:ind w:firstLine="0"/>
        <w:rPr>
          <w:b/>
          <w:sz w:val="16"/>
          <w:szCs w:val="16"/>
        </w:rPr>
      </w:pPr>
      <w:r w:rsidRPr="009020D6">
        <w:rPr>
          <w:sz w:val="16"/>
          <w:szCs w:val="16"/>
        </w:rPr>
        <w:t xml:space="preserve">     </w:t>
      </w:r>
      <w:r w:rsidRPr="009020D6">
        <w:rPr>
          <w:b/>
          <w:sz w:val="16"/>
          <w:szCs w:val="16"/>
        </w:rPr>
        <w:t>Tek Yazarlı Makale</w:t>
      </w:r>
    </w:p>
    <w:p w14:paraId="77185553" w14:textId="1981627E" w:rsidR="00F63879" w:rsidRPr="009020D6" w:rsidRDefault="00F63879" w:rsidP="00F63879">
      <w:pPr>
        <w:ind w:left="709" w:hanging="709"/>
        <w:rPr>
          <w:sz w:val="16"/>
          <w:szCs w:val="16"/>
        </w:rPr>
      </w:pPr>
      <w:r w:rsidRPr="009020D6">
        <w:rPr>
          <w:sz w:val="16"/>
          <w:szCs w:val="16"/>
        </w:rPr>
        <w:t xml:space="preserve">Eren, E. (2017). Şanghay İşbirliği Örgütü ve Türk Dış </w:t>
      </w:r>
      <w:r w:rsidR="005F3038">
        <w:rPr>
          <w:sz w:val="16"/>
          <w:szCs w:val="16"/>
        </w:rPr>
        <w:t>P</w:t>
      </w:r>
      <w:r w:rsidRPr="009020D6">
        <w:rPr>
          <w:sz w:val="16"/>
          <w:szCs w:val="16"/>
        </w:rPr>
        <w:t xml:space="preserve">olitikasında Gelecek Perspektifi. </w:t>
      </w:r>
      <w:r w:rsidRPr="009020D6">
        <w:rPr>
          <w:i/>
          <w:sz w:val="16"/>
          <w:szCs w:val="16"/>
        </w:rPr>
        <w:t xml:space="preserve">Strategic </w:t>
      </w:r>
      <w:proofErr w:type="spellStart"/>
      <w:r w:rsidRPr="009020D6">
        <w:rPr>
          <w:i/>
          <w:sz w:val="16"/>
          <w:szCs w:val="16"/>
        </w:rPr>
        <w:t>Public</w:t>
      </w:r>
      <w:proofErr w:type="spellEnd"/>
      <w:r w:rsidRPr="009020D6">
        <w:rPr>
          <w:i/>
          <w:sz w:val="16"/>
          <w:szCs w:val="16"/>
        </w:rPr>
        <w:t xml:space="preserve"> Management </w:t>
      </w:r>
      <w:proofErr w:type="spellStart"/>
      <w:r w:rsidRPr="009020D6">
        <w:rPr>
          <w:i/>
          <w:sz w:val="16"/>
          <w:szCs w:val="16"/>
        </w:rPr>
        <w:t>Journal</w:t>
      </w:r>
      <w:proofErr w:type="spellEnd"/>
      <w:r w:rsidRPr="009020D6">
        <w:rPr>
          <w:sz w:val="16"/>
          <w:szCs w:val="16"/>
        </w:rPr>
        <w:t>. 3(5)</w:t>
      </w:r>
      <w:r w:rsidR="005F3038">
        <w:rPr>
          <w:sz w:val="16"/>
          <w:szCs w:val="16"/>
        </w:rPr>
        <w:t>:</w:t>
      </w:r>
      <w:r w:rsidRPr="009020D6">
        <w:rPr>
          <w:sz w:val="16"/>
          <w:szCs w:val="16"/>
        </w:rPr>
        <w:t xml:space="preserve"> 77-94</w:t>
      </w:r>
    </w:p>
    <w:p w14:paraId="7B8E528D" w14:textId="379190E4" w:rsidR="00F63879" w:rsidRPr="009020D6" w:rsidRDefault="00F63879" w:rsidP="00F63879">
      <w:pPr>
        <w:ind w:left="709" w:hanging="709"/>
        <w:rPr>
          <w:sz w:val="16"/>
          <w:szCs w:val="16"/>
        </w:rPr>
      </w:pPr>
      <w:proofErr w:type="spellStart"/>
      <w:r w:rsidRPr="009020D6">
        <w:rPr>
          <w:sz w:val="16"/>
          <w:szCs w:val="16"/>
        </w:rPr>
        <w:t>Jung</w:t>
      </w:r>
      <w:proofErr w:type="spellEnd"/>
      <w:r w:rsidRPr="009020D6">
        <w:rPr>
          <w:sz w:val="16"/>
          <w:szCs w:val="16"/>
        </w:rPr>
        <w:t xml:space="preserve">, W. S. (1986). Financial Development </w:t>
      </w:r>
      <w:proofErr w:type="spellStart"/>
      <w:r w:rsidRPr="009020D6">
        <w:rPr>
          <w:sz w:val="16"/>
          <w:szCs w:val="16"/>
        </w:rPr>
        <w:t>and</w:t>
      </w:r>
      <w:proofErr w:type="spellEnd"/>
      <w:r w:rsidRPr="009020D6">
        <w:rPr>
          <w:sz w:val="16"/>
          <w:szCs w:val="16"/>
        </w:rPr>
        <w:t xml:space="preserve"> </w:t>
      </w:r>
      <w:proofErr w:type="spellStart"/>
      <w:r w:rsidRPr="009020D6">
        <w:rPr>
          <w:sz w:val="16"/>
          <w:szCs w:val="16"/>
        </w:rPr>
        <w:t>Economic</w:t>
      </w:r>
      <w:proofErr w:type="spellEnd"/>
      <w:r w:rsidRPr="009020D6">
        <w:rPr>
          <w:sz w:val="16"/>
          <w:szCs w:val="16"/>
        </w:rPr>
        <w:t xml:space="preserve"> </w:t>
      </w:r>
      <w:proofErr w:type="spellStart"/>
      <w:r w:rsidRPr="009020D6">
        <w:rPr>
          <w:sz w:val="16"/>
          <w:szCs w:val="16"/>
        </w:rPr>
        <w:t>Growth</w:t>
      </w:r>
      <w:proofErr w:type="spellEnd"/>
      <w:r w:rsidRPr="009020D6">
        <w:rPr>
          <w:sz w:val="16"/>
          <w:szCs w:val="16"/>
        </w:rPr>
        <w:t xml:space="preserve">: International </w:t>
      </w:r>
      <w:proofErr w:type="spellStart"/>
      <w:r w:rsidRPr="009020D6">
        <w:rPr>
          <w:sz w:val="16"/>
          <w:szCs w:val="16"/>
        </w:rPr>
        <w:t>Evidence</w:t>
      </w:r>
      <w:proofErr w:type="spellEnd"/>
      <w:r w:rsidRPr="009020D6">
        <w:rPr>
          <w:sz w:val="16"/>
          <w:szCs w:val="16"/>
        </w:rPr>
        <w:t>.</w:t>
      </w:r>
      <w:r w:rsidRPr="009020D6">
        <w:rPr>
          <w:i/>
          <w:sz w:val="16"/>
          <w:szCs w:val="16"/>
        </w:rPr>
        <w:t xml:space="preserve"> </w:t>
      </w:r>
      <w:proofErr w:type="spellStart"/>
      <w:r w:rsidRPr="009020D6">
        <w:rPr>
          <w:i/>
          <w:sz w:val="16"/>
          <w:szCs w:val="16"/>
        </w:rPr>
        <w:t>Economic</w:t>
      </w:r>
      <w:proofErr w:type="spellEnd"/>
      <w:r w:rsidRPr="009020D6">
        <w:rPr>
          <w:i/>
          <w:sz w:val="16"/>
          <w:szCs w:val="16"/>
        </w:rPr>
        <w:t xml:space="preserve"> Development </w:t>
      </w:r>
      <w:proofErr w:type="spellStart"/>
      <w:r w:rsidRPr="009020D6">
        <w:rPr>
          <w:i/>
          <w:sz w:val="16"/>
          <w:szCs w:val="16"/>
        </w:rPr>
        <w:t>and</w:t>
      </w:r>
      <w:proofErr w:type="spellEnd"/>
      <w:r w:rsidRPr="009020D6">
        <w:rPr>
          <w:i/>
          <w:sz w:val="16"/>
          <w:szCs w:val="16"/>
        </w:rPr>
        <w:t xml:space="preserve"> </w:t>
      </w:r>
      <w:proofErr w:type="spellStart"/>
      <w:r w:rsidRPr="009020D6">
        <w:rPr>
          <w:i/>
          <w:sz w:val="16"/>
          <w:szCs w:val="16"/>
        </w:rPr>
        <w:t>Cultural</w:t>
      </w:r>
      <w:proofErr w:type="spellEnd"/>
      <w:r w:rsidRPr="009020D6">
        <w:rPr>
          <w:i/>
          <w:sz w:val="16"/>
          <w:szCs w:val="16"/>
        </w:rPr>
        <w:t xml:space="preserve"> </w:t>
      </w:r>
      <w:proofErr w:type="spellStart"/>
      <w:r w:rsidRPr="009020D6">
        <w:rPr>
          <w:i/>
          <w:sz w:val="16"/>
          <w:szCs w:val="16"/>
        </w:rPr>
        <w:t>Change</w:t>
      </w:r>
      <w:proofErr w:type="spellEnd"/>
      <w:r w:rsidRPr="009020D6">
        <w:rPr>
          <w:i/>
          <w:sz w:val="16"/>
          <w:szCs w:val="16"/>
        </w:rPr>
        <w:t>, 34</w:t>
      </w:r>
      <w:r w:rsidR="00197F96">
        <w:rPr>
          <w:sz w:val="16"/>
          <w:szCs w:val="16"/>
        </w:rPr>
        <w:t>:</w:t>
      </w:r>
      <w:r w:rsidRPr="009020D6">
        <w:rPr>
          <w:sz w:val="16"/>
          <w:szCs w:val="16"/>
        </w:rPr>
        <w:t xml:space="preserve"> 336–346.</w:t>
      </w:r>
    </w:p>
    <w:p w14:paraId="1E01DFBD" w14:textId="77777777" w:rsidR="00F63879" w:rsidRPr="009020D6" w:rsidRDefault="00F63879" w:rsidP="00F63879">
      <w:pPr>
        <w:ind w:left="709" w:hanging="709"/>
        <w:rPr>
          <w:b/>
          <w:sz w:val="16"/>
          <w:szCs w:val="16"/>
        </w:rPr>
      </w:pPr>
      <w:r w:rsidRPr="009020D6">
        <w:rPr>
          <w:b/>
          <w:sz w:val="16"/>
          <w:szCs w:val="16"/>
        </w:rPr>
        <w:t xml:space="preserve">     İki ve Çok Yazarlı Makale</w:t>
      </w:r>
    </w:p>
    <w:p w14:paraId="48F11A85" w14:textId="6BCD3639" w:rsidR="00F63879" w:rsidRPr="009020D6" w:rsidRDefault="009020D6" w:rsidP="009020D6">
      <w:pPr>
        <w:pStyle w:val="Altyaz"/>
      </w:pPr>
      <w:proofErr w:type="spellStart"/>
      <w:r w:rsidRPr="009020D6">
        <w:t>Beşkaya</w:t>
      </w:r>
      <w:proofErr w:type="spellEnd"/>
      <w:r w:rsidRPr="009020D6">
        <w:t xml:space="preserve">, A. ve Manan, Ö. (2009). Ekonomik Özgürlükler ve Demokrasi İle Ekonomik Performans Arasındaki İlişkinin Zaman Serileri İle Analizi: Türkiye Örneği. </w:t>
      </w:r>
      <w:r w:rsidRPr="009020D6">
        <w:rPr>
          <w:i/>
        </w:rPr>
        <w:t>ZKÜ Sosyal Bilimler Dergisi</w:t>
      </w:r>
      <w:r w:rsidRPr="009020D6">
        <w:t>, 5(</w:t>
      </w:r>
      <w:r w:rsidRPr="005F3038">
        <w:t>10):</w:t>
      </w:r>
      <w:r w:rsidRPr="009020D6">
        <w:t xml:space="preserve"> 47-76.</w:t>
      </w:r>
    </w:p>
    <w:p w14:paraId="64933762" w14:textId="10D563BE" w:rsidR="00F63879" w:rsidRPr="009020D6" w:rsidRDefault="00F63879" w:rsidP="00F63879">
      <w:pPr>
        <w:ind w:left="709" w:hanging="709"/>
        <w:rPr>
          <w:bCs/>
          <w:sz w:val="16"/>
          <w:szCs w:val="16"/>
        </w:rPr>
      </w:pPr>
      <w:proofErr w:type="spellStart"/>
      <w:r w:rsidRPr="009020D6">
        <w:rPr>
          <w:bCs/>
          <w:sz w:val="16"/>
          <w:szCs w:val="16"/>
        </w:rPr>
        <w:t>Klapper</w:t>
      </w:r>
      <w:proofErr w:type="spellEnd"/>
      <w:r w:rsidRPr="009020D6">
        <w:rPr>
          <w:bCs/>
          <w:sz w:val="16"/>
          <w:szCs w:val="16"/>
        </w:rPr>
        <w:t xml:space="preserve">, L., </w:t>
      </w:r>
      <w:proofErr w:type="spellStart"/>
      <w:r w:rsidRPr="009020D6">
        <w:rPr>
          <w:bCs/>
          <w:sz w:val="16"/>
          <w:szCs w:val="16"/>
        </w:rPr>
        <w:t>Laeven</w:t>
      </w:r>
      <w:proofErr w:type="spellEnd"/>
      <w:r w:rsidRPr="009020D6">
        <w:rPr>
          <w:bCs/>
          <w:sz w:val="16"/>
          <w:szCs w:val="16"/>
        </w:rPr>
        <w:t xml:space="preserve">, L. </w:t>
      </w:r>
      <w:proofErr w:type="spellStart"/>
      <w:r w:rsidRPr="009020D6">
        <w:rPr>
          <w:bCs/>
          <w:sz w:val="16"/>
          <w:szCs w:val="16"/>
        </w:rPr>
        <w:t>and</w:t>
      </w:r>
      <w:proofErr w:type="spellEnd"/>
      <w:r w:rsidRPr="009020D6">
        <w:rPr>
          <w:bCs/>
          <w:sz w:val="16"/>
          <w:szCs w:val="16"/>
        </w:rPr>
        <w:t xml:space="preserve"> R. </w:t>
      </w:r>
      <w:proofErr w:type="spellStart"/>
      <w:r w:rsidRPr="009020D6">
        <w:rPr>
          <w:bCs/>
          <w:sz w:val="16"/>
          <w:szCs w:val="16"/>
        </w:rPr>
        <w:t>Rajan</w:t>
      </w:r>
      <w:proofErr w:type="spellEnd"/>
      <w:r w:rsidRPr="009020D6">
        <w:rPr>
          <w:bCs/>
          <w:sz w:val="16"/>
          <w:szCs w:val="16"/>
        </w:rPr>
        <w:t>,</w:t>
      </w:r>
      <w:r w:rsidR="00487823" w:rsidRPr="009020D6">
        <w:rPr>
          <w:bCs/>
          <w:sz w:val="16"/>
          <w:szCs w:val="16"/>
        </w:rPr>
        <w:t xml:space="preserve"> (2006). </w:t>
      </w:r>
      <w:proofErr w:type="spellStart"/>
      <w:r w:rsidRPr="009020D6">
        <w:rPr>
          <w:bCs/>
          <w:sz w:val="16"/>
          <w:szCs w:val="16"/>
        </w:rPr>
        <w:t>Entry</w:t>
      </w:r>
      <w:proofErr w:type="spellEnd"/>
      <w:r w:rsidRPr="009020D6">
        <w:rPr>
          <w:bCs/>
          <w:sz w:val="16"/>
          <w:szCs w:val="16"/>
        </w:rPr>
        <w:t xml:space="preserve"> </w:t>
      </w:r>
      <w:proofErr w:type="spellStart"/>
      <w:r w:rsidRPr="009020D6">
        <w:rPr>
          <w:bCs/>
          <w:sz w:val="16"/>
          <w:szCs w:val="16"/>
        </w:rPr>
        <w:t>Regulation</w:t>
      </w:r>
      <w:proofErr w:type="spellEnd"/>
      <w:r w:rsidRPr="009020D6">
        <w:rPr>
          <w:bCs/>
          <w:sz w:val="16"/>
          <w:szCs w:val="16"/>
        </w:rPr>
        <w:t xml:space="preserve"> a</w:t>
      </w:r>
      <w:r w:rsidR="00487823" w:rsidRPr="009020D6">
        <w:rPr>
          <w:bCs/>
          <w:sz w:val="16"/>
          <w:szCs w:val="16"/>
        </w:rPr>
        <w:t xml:space="preserve">s a </w:t>
      </w:r>
      <w:proofErr w:type="spellStart"/>
      <w:r w:rsidR="00487823" w:rsidRPr="009020D6">
        <w:rPr>
          <w:bCs/>
          <w:sz w:val="16"/>
          <w:szCs w:val="16"/>
        </w:rPr>
        <w:t>Barrier</w:t>
      </w:r>
      <w:proofErr w:type="spellEnd"/>
      <w:r w:rsidR="00487823" w:rsidRPr="009020D6">
        <w:rPr>
          <w:bCs/>
          <w:sz w:val="16"/>
          <w:szCs w:val="16"/>
        </w:rPr>
        <w:t xml:space="preserve"> </w:t>
      </w:r>
      <w:proofErr w:type="spellStart"/>
      <w:r w:rsidR="00487823" w:rsidRPr="009020D6">
        <w:rPr>
          <w:bCs/>
          <w:sz w:val="16"/>
          <w:szCs w:val="16"/>
        </w:rPr>
        <w:t>to</w:t>
      </w:r>
      <w:proofErr w:type="spellEnd"/>
      <w:r w:rsidR="00487823" w:rsidRPr="009020D6">
        <w:rPr>
          <w:bCs/>
          <w:sz w:val="16"/>
          <w:szCs w:val="16"/>
        </w:rPr>
        <w:t xml:space="preserve"> </w:t>
      </w:r>
      <w:proofErr w:type="spellStart"/>
      <w:r w:rsidR="00487823" w:rsidRPr="009020D6">
        <w:rPr>
          <w:bCs/>
          <w:sz w:val="16"/>
          <w:szCs w:val="16"/>
        </w:rPr>
        <w:t>Entrepreneurship</w:t>
      </w:r>
      <w:proofErr w:type="spellEnd"/>
      <w:r w:rsidRPr="009020D6">
        <w:rPr>
          <w:bCs/>
          <w:sz w:val="16"/>
          <w:szCs w:val="16"/>
        </w:rPr>
        <w:t xml:space="preserve">. </w:t>
      </w:r>
      <w:proofErr w:type="spellStart"/>
      <w:r w:rsidRPr="009020D6">
        <w:rPr>
          <w:bCs/>
          <w:i/>
          <w:sz w:val="16"/>
          <w:szCs w:val="16"/>
        </w:rPr>
        <w:t>Journal</w:t>
      </w:r>
      <w:proofErr w:type="spellEnd"/>
      <w:r w:rsidRPr="009020D6">
        <w:rPr>
          <w:bCs/>
          <w:i/>
          <w:sz w:val="16"/>
          <w:szCs w:val="16"/>
        </w:rPr>
        <w:t xml:space="preserve"> of Financial </w:t>
      </w:r>
      <w:proofErr w:type="spellStart"/>
      <w:r w:rsidRPr="009020D6">
        <w:rPr>
          <w:bCs/>
          <w:i/>
          <w:sz w:val="16"/>
          <w:szCs w:val="16"/>
        </w:rPr>
        <w:t>Economics</w:t>
      </w:r>
      <w:proofErr w:type="spellEnd"/>
      <w:r w:rsidRPr="009020D6">
        <w:rPr>
          <w:bCs/>
          <w:sz w:val="16"/>
          <w:szCs w:val="16"/>
        </w:rPr>
        <w:t>, 8</w:t>
      </w:r>
      <w:r w:rsidR="00197F96">
        <w:rPr>
          <w:bCs/>
          <w:sz w:val="16"/>
          <w:szCs w:val="16"/>
        </w:rPr>
        <w:t>2:</w:t>
      </w:r>
      <w:r w:rsidRPr="009020D6">
        <w:rPr>
          <w:bCs/>
          <w:sz w:val="16"/>
          <w:szCs w:val="16"/>
        </w:rPr>
        <w:t xml:space="preserve"> 591-652.</w:t>
      </w:r>
    </w:p>
    <w:p w14:paraId="7EC086FC" w14:textId="77777777" w:rsidR="00F63879" w:rsidRPr="009020D6" w:rsidRDefault="00F63879" w:rsidP="00F63879">
      <w:pPr>
        <w:ind w:left="709" w:hanging="709"/>
        <w:rPr>
          <w:b/>
          <w:bCs/>
          <w:sz w:val="16"/>
          <w:szCs w:val="16"/>
        </w:rPr>
      </w:pPr>
      <w:r w:rsidRPr="009020D6">
        <w:rPr>
          <w:bCs/>
          <w:sz w:val="16"/>
          <w:szCs w:val="16"/>
        </w:rPr>
        <w:t xml:space="preserve">    </w:t>
      </w:r>
      <w:r w:rsidRPr="009020D6">
        <w:rPr>
          <w:b/>
          <w:bCs/>
          <w:sz w:val="16"/>
          <w:szCs w:val="16"/>
        </w:rPr>
        <w:t>Tezler</w:t>
      </w:r>
    </w:p>
    <w:p w14:paraId="3B077053" w14:textId="77777777" w:rsidR="00F63879" w:rsidRPr="009020D6" w:rsidRDefault="00F63879" w:rsidP="00F63879">
      <w:pPr>
        <w:pStyle w:val="Altyaz"/>
      </w:pPr>
      <w:r w:rsidRPr="009020D6">
        <w:t xml:space="preserve">Çoban, M., N. (2018). </w:t>
      </w:r>
      <w:r w:rsidRPr="009020D6">
        <w:rPr>
          <w:i/>
        </w:rPr>
        <w:t xml:space="preserve">Demokrasinin Göstergelerinin Refah Üzerine Etkisi: AB Ülkeleri Üzerine Panel Veri Analizi. </w:t>
      </w:r>
      <w:r w:rsidRPr="009020D6">
        <w:t>Doktora Tezi. Tokat: Tokat Gaziosmanpaşa Üniversitesi Sosyal Bilimler Enstitüsü.</w:t>
      </w:r>
    </w:p>
    <w:p w14:paraId="276D06E1" w14:textId="77777777" w:rsidR="00F63879" w:rsidRPr="009020D6" w:rsidRDefault="00F63879" w:rsidP="00F63879">
      <w:pPr>
        <w:rPr>
          <w:b/>
          <w:sz w:val="16"/>
          <w:szCs w:val="16"/>
        </w:rPr>
      </w:pPr>
      <w:r w:rsidRPr="009020D6">
        <w:rPr>
          <w:b/>
          <w:sz w:val="16"/>
          <w:szCs w:val="16"/>
        </w:rPr>
        <w:t>Rapor</w:t>
      </w:r>
    </w:p>
    <w:p w14:paraId="1CADC0B4" w14:textId="77777777" w:rsidR="00F63879" w:rsidRPr="009020D6" w:rsidRDefault="00F63879" w:rsidP="00F63879">
      <w:pPr>
        <w:rPr>
          <w:sz w:val="16"/>
          <w:szCs w:val="16"/>
        </w:rPr>
      </w:pPr>
      <w:r w:rsidRPr="009020D6">
        <w:rPr>
          <w:sz w:val="16"/>
          <w:szCs w:val="16"/>
        </w:rPr>
        <w:t xml:space="preserve">Türkiye İstatistik Kurumu (2012). Faaliyet raporu: 2011 Mali Yılı. Erişim adresi </w:t>
      </w:r>
      <w:hyperlink r:id="rId9" w:history="1">
        <w:r w:rsidRPr="009020D6">
          <w:rPr>
            <w:rStyle w:val="Kpr"/>
            <w:sz w:val="16"/>
            <w:szCs w:val="16"/>
          </w:rPr>
          <w:t>https://www.tuik.gov.tr/jsp/duyuru/upload/FR-2011.pdf</w:t>
        </w:r>
      </w:hyperlink>
      <w:r w:rsidRPr="009020D6">
        <w:rPr>
          <w:sz w:val="16"/>
          <w:szCs w:val="16"/>
        </w:rPr>
        <w:t>, Erişim tarihi (</w:t>
      </w:r>
      <w:proofErr w:type="spellStart"/>
      <w:r w:rsidRPr="009020D6">
        <w:rPr>
          <w:sz w:val="16"/>
          <w:szCs w:val="16"/>
        </w:rPr>
        <w:t>gg</w:t>
      </w:r>
      <w:proofErr w:type="spellEnd"/>
      <w:r w:rsidRPr="009020D6">
        <w:rPr>
          <w:sz w:val="16"/>
          <w:szCs w:val="16"/>
        </w:rPr>
        <w:t xml:space="preserve">. </w:t>
      </w:r>
      <w:proofErr w:type="spellStart"/>
      <w:r w:rsidRPr="009020D6">
        <w:rPr>
          <w:sz w:val="16"/>
          <w:szCs w:val="16"/>
        </w:rPr>
        <w:t>aa</w:t>
      </w:r>
      <w:proofErr w:type="spellEnd"/>
      <w:r w:rsidRPr="009020D6">
        <w:rPr>
          <w:sz w:val="16"/>
          <w:szCs w:val="16"/>
        </w:rPr>
        <w:t xml:space="preserve">. yy). </w:t>
      </w:r>
    </w:p>
    <w:p w14:paraId="50C6807F" w14:textId="77777777" w:rsidR="00F63879" w:rsidRPr="009020D6" w:rsidRDefault="00F63879" w:rsidP="00F63879">
      <w:pPr>
        <w:rPr>
          <w:sz w:val="16"/>
          <w:szCs w:val="16"/>
        </w:rPr>
      </w:pPr>
      <w:proofErr w:type="spellStart"/>
      <w:r w:rsidRPr="009020D6">
        <w:rPr>
          <w:sz w:val="16"/>
          <w:szCs w:val="16"/>
        </w:rPr>
        <w:t>Fraser</w:t>
      </w:r>
      <w:proofErr w:type="spellEnd"/>
      <w:r w:rsidRPr="009020D6">
        <w:rPr>
          <w:sz w:val="16"/>
          <w:szCs w:val="16"/>
        </w:rPr>
        <w:t xml:space="preserve"> </w:t>
      </w:r>
      <w:proofErr w:type="spellStart"/>
      <w:r w:rsidRPr="009020D6">
        <w:rPr>
          <w:sz w:val="16"/>
          <w:szCs w:val="16"/>
        </w:rPr>
        <w:t>Institute</w:t>
      </w:r>
      <w:proofErr w:type="spellEnd"/>
      <w:r w:rsidRPr="009020D6">
        <w:rPr>
          <w:sz w:val="16"/>
          <w:szCs w:val="16"/>
        </w:rPr>
        <w:t xml:space="preserve"> (2020). </w:t>
      </w:r>
      <w:proofErr w:type="spellStart"/>
      <w:r w:rsidRPr="009020D6">
        <w:rPr>
          <w:sz w:val="16"/>
          <w:szCs w:val="16"/>
        </w:rPr>
        <w:t>Economic</w:t>
      </w:r>
      <w:proofErr w:type="spellEnd"/>
      <w:r w:rsidRPr="009020D6">
        <w:rPr>
          <w:sz w:val="16"/>
          <w:szCs w:val="16"/>
        </w:rPr>
        <w:t xml:space="preserve"> </w:t>
      </w:r>
      <w:proofErr w:type="spellStart"/>
      <w:r w:rsidRPr="009020D6">
        <w:rPr>
          <w:sz w:val="16"/>
          <w:szCs w:val="16"/>
        </w:rPr>
        <w:t>Freedom</w:t>
      </w:r>
      <w:proofErr w:type="spellEnd"/>
      <w:r w:rsidRPr="009020D6">
        <w:rPr>
          <w:sz w:val="16"/>
          <w:szCs w:val="16"/>
        </w:rPr>
        <w:t xml:space="preserve"> of </w:t>
      </w:r>
      <w:proofErr w:type="spellStart"/>
      <w:r w:rsidRPr="009020D6">
        <w:rPr>
          <w:sz w:val="16"/>
          <w:szCs w:val="16"/>
        </w:rPr>
        <w:t>the</w:t>
      </w:r>
      <w:proofErr w:type="spellEnd"/>
      <w:r w:rsidRPr="009020D6">
        <w:rPr>
          <w:sz w:val="16"/>
          <w:szCs w:val="16"/>
        </w:rPr>
        <w:t xml:space="preserve"> World: 2020 </w:t>
      </w:r>
      <w:proofErr w:type="spellStart"/>
      <w:r w:rsidRPr="009020D6">
        <w:rPr>
          <w:sz w:val="16"/>
          <w:szCs w:val="16"/>
        </w:rPr>
        <w:t>Annual</w:t>
      </w:r>
      <w:proofErr w:type="spellEnd"/>
      <w:r w:rsidRPr="009020D6">
        <w:rPr>
          <w:sz w:val="16"/>
          <w:szCs w:val="16"/>
        </w:rPr>
        <w:t xml:space="preserve"> Report. </w:t>
      </w:r>
      <w:hyperlink r:id="rId10" w:history="1">
        <w:r w:rsidRPr="009020D6">
          <w:rPr>
            <w:rStyle w:val="Kpr"/>
            <w:sz w:val="16"/>
            <w:szCs w:val="16"/>
          </w:rPr>
          <w:t>https://www.fraserinstitute.org/economic-freedom/dataset?geozone=world&amp;year=2018&amp;page=dataset&amp;min-year=2&amp;max-year=0&amp;filter=0</w:t>
        </w:r>
      </w:hyperlink>
      <w:r w:rsidRPr="009020D6">
        <w:rPr>
          <w:sz w:val="16"/>
          <w:szCs w:val="16"/>
        </w:rPr>
        <w:t>, Erişim Tarihi (</w:t>
      </w:r>
      <w:proofErr w:type="spellStart"/>
      <w:r w:rsidRPr="009020D6">
        <w:rPr>
          <w:sz w:val="16"/>
          <w:szCs w:val="16"/>
        </w:rPr>
        <w:t>gg</w:t>
      </w:r>
      <w:proofErr w:type="spellEnd"/>
      <w:r w:rsidRPr="009020D6">
        <w:rPr>
          <w:sz w:val="16"/>
          <w:szCs w:val="16"/>
        </w:rPr>
        <w:t xml:space="preserve">. </w:t>
      </w:r>
      <w:proofErr w:type="spellStart"/>
      <w:r w:rsidRPr="009020D6">
        <w:rPr>
          <w:sz w:val="16"/>
          <w:szCs w:val="16"/>
        </w:rPr>
        <w:t>aa</w:t>
      </w:r>
      <w:proofErr w:type="spellEnd"/>
      <w:r w:rsidRPr="009020D6">
        <w:rPr>
          <w:sz w:val="16"/>
          <w:szCs w:val="16"/>
        </w:rPr>
        <w:t>. yy)</w:t>
      </w:r>
    </w:p>
    <w:p w14:paraId="6A3C706F" w14:textId="77777777" w:rsidR="00F63879" w:rsidRPr="009020D6" w:rsidRDefault="00F63879" w:rsidP="00F63879">
      <w:pPr>
        <w:rPr>
          <w:i/>
          <w:sz w:val="16"/>
          <w:szCs w:val="16"/>
        </w:rPr>
      </w:pPr>
      <w:r w:rsidRPr="009020D6">
        <w:rPr>
          <w:sz w:val="16"/>
          <w:szCs w:val="16"/>
        </w:rPr>
        <w:t xml:space="preserve">IMF (2019). </w:t>
      </w:r>
      <w:r w:rsidRPr="009020D6">
        <w:rPr>
          <w:i/>
          <w:sz w:val="16"/>
          <w:szCs w:val="16"/>
        </w:rPr>
        <w:t xml:space="preserve">World </w:t>
      </w:r>
      <w:proofErr w:type="spellStart"/>
      <w:r w:rsidRPr="009020D6">
        <w:rPr>
          <w:i/>
          <w:sz w:val="16"/>
          <w:szCs w:val="16"/>
        </w:rPr>
        <w:t>Economic</w:t>
      </w:r>
      <w:proofErr w:type="spellEnd"/>
      <w:r w:rsidRPr="009020D6">
        <w:rPr>
          <w:i/>
          <w:sz w:val="16"/>
          <w:szCs w:val="16"/>
        </w:rPr>
        <w:t xml:space="preserve"> </w:t>
      </w:r>
      <w:proofErr w:type="spellStart"/>
      <w:r w:rsidRPr="009020D6">
        <w:rPr>
          <w:i/>
          <w:sz w:val="16"/>
          <w:szCs w:val="16"/>
        </w:rPr>
        <w:t>and</w:t>
      </w:r>
      <w:proofErr w:type="spellEnd"/>
      <w:r w:rsidRPr="009020D6">
        <w:rPr>
          <w:i/>
          <w:sz w:val="16"/>
          <w:szCs w:val="16"/>
        </w:rPr>
        <w:t xml:space="preserve"> Financial </w:t>
      </w:r>
      <w:proofErr w:type="spellStart"/>
      <w:r w:rsidRPr="009020D6">
        <w:rPr>
          <w:i/>
          <w:sz w:val="16"/>
          <w:szCs w:val="16"/>
        </w:rPr>
        <w:t>Surveys</w:t>
      </w:r>
      <w:proofErr w:type="spellEnd"/>
      <w:r w:rsidRPr="009020D6">
        <w:rPr>
          <w:i/>
          <w:sz w:val="16"/>
          <w:szCs w:val="16"/>
        </w:rPr>
        <w:t xml:space="preserve">: Global Financial </w:t>
      </w:r>
      <w:proofErr w:type="spellStart"/>
      <w:r w:rsidRPr="009020D6">
        <w:rPr>
          <w:i/>
          <w:sz w:val="16"/>
          <w:szCs w:val="16"/>
        </w:rPr>
        <w:t>Stability</w:t>
      </w:r>
      <w:proofErr w:type="spellEnd"/>
      <w:r w:rsidRPr="009020D6">
        <w:rPr>
          <w:i/>
          <w:sz w:val="16"/>
          <w:szCs w:val="16"/>
        </w:rPr>
        <w:t xml:space="preserve"> Report: </w:t>
      </w:r>
      <w:proofErr w:type="spellStart"/>
      <w:r w:rsidRPr="009020D6">
        <w:rPr>
          <w:i/>
          <w:sz w:val="16"/>
          <w:szCs w:val="16"/>
        </w:rPr>
        <w:t>Bank’s</w:t>
      </w:r>
      <w:proofErr w:type="spellEnd"/>
      <w:r w:rsidRPr="009020D6">
        <w:rPr>
          <w:i/>
          <w:sz w:val="16"/>
          <w:szCs w:val="16"/>
        </w:rPr>
        <w:t xml:space="preserve"> </w:t>
      </w:r>
      <w:proofErr w:type="spellStart"/>
      <w:r w:rsidRPr="009020D6">
        <w:rPr>
          <w:i/>
          <w:sz w:val="16"/>
          <w:szCs w:val="16"/>
        </w:rPr>
        <w:t>Dollar</w:t>
      </w:r>
      <w:proofErr w:type="spellEnd"/>
      <w:r w:rsidRPr="009020D6">
        <w:rPr>
          <w:i/>
          <w:sz w:val="16"/>
          <w:szCs w:val="16"/>
        </w:rPr>
        <w:t xml:space="preserve"> </w:t>
      </w:r>
      <w:proofErr w:type="spellStart"/>
      <w:r w:rsidRPr="009020D6">
        <w:rPr>
          <w:i/>
          <w:sz w:val="16"/>
          <w:szCs w:val="16"/>
        </w:rPr>
        <w:t>Funding</w:t>
      </w:r>
      <w:proofErr w:type="spellEnd"/>
      <w:r w:rsidRPr="009020D6">
        <w:rPr>
          <w:i/>
          <w:sz w:val="16"/>
          <w:szCs w:val="16"/>
        </w:rPr>
        <w:t xml:space="preserve">: A Source of Financial </w:t>
      </w:r>
      <w:proofErr w:type="spellStart"/>
      <w:r w:rsidRPr="009020D6">
        <w:rPr>
          <w:i/>
          <w:sz w:val="16"/>
          <w:szCs w:val="16"/>
        </w:rPr>
        <w:t>Vulnerability</w:t>
      </w:r>
      <w:proofErr w:type="spellEnd"/>
      <w:r w:rsidRPr="009020D6">
        <w:rPr>
          <w:i/>
          <w:sz w:val="16"/>
          <w:szCs w:val="16"/>
        </w:rPr>
        <w:t xml:space="preserve">, </w:t>
      </w:r>
      <w:r w:rsidRPr="009020D6">
        <w:rPr>
          <w:sz w:val="16"/>
          <w:szCs w:val="16"/>
        </w:rPr>
        <w:t xml:space="preserve">( Washington DC: International </w:t>
      </w:r>
      <w:proofErr w:type="spellStart"/>
      <w:r w:rsidRPr="009020D6">
        <w:rPr>
          <w:sz w:val="16"/>
          <w:szCs w:val="16"/>
        </w:rPr>
        <w:t>Monetary</w:t>
      </w:r>
      <w:proofErr w:type="spellEnd"/>
      <w:r w:rsidRPr="009020D6">
        <w:rPr>
          <w:sz w:val="16"/>
          <w:szCs w:val="16"/>
        </w:rPr>
        <w:t xml:space="preserve"> </w:t>
      </w:r>
      <w:proofErr w:type="spellStart"/>
      <w:r w:rsidRPr="009020D6">
        <w:rPr>
          <w:sz w:val="16"/>
          <w:szCs w:val="16"/>
        </w:rPr>
        <w:t>Fund</w:t>
      </w:r>
      <w:proofErr w:type="spellEnd"/>
      <w:r w:rsidRPr="009020D6">
        <w:rPr>
          <w:sz w:val="16"/>
          <w:szCs w:val="16"/>
        </w:rPr>
        <w:t>).</w:t>
      </w:r>
      <w:r w:rsidRPr="009020D6">
        <w:rPr>
          <w:i/>
          <w:sz w:val="16"/>
          <w:szCs w:val="16"/>
        </w:rPr>
        <w:t xml:space="preserve"> </w:t>
      </w:r>
    </w:p>
    <w:p w14:paraId="2BB24C89" w14:textId="77777777" w:rsidR="00F63879" w:rsidRPr="009020D6" w:rsidRDefault="00F63879" w:rsidP="00F63879">
      <w:pPr>
        <w:rPr>
          <w:sz w:val="16"/>
          <w:szCs w:val="16"/>
        </w:rPr>
      </w:pPr>
      <w:r w:rsidRPr="009020D6">
        <w:rPr>
          <w:sz w:val="16"/>
          <w:szCs w:val="16"/>
        </w:rPr>
        <w:t xml:space="preserve">UNDP (2019). Blue </w:t>
      </w:r>
      <w:proofErr w:type="spellStart"/>
      <w:r w:rsidRPr="009020D6">
        <w:rPr>
          <w:sz w:val="16"/>
          <w:szCs w:val="16"/>
        </w:rPr>
        <w:t>Economy</w:t>
      </w:r>
      <w:proofErr w:type="spellEnd"/>
      <w:r w:rsidRPr="009020D6">
        <w:rPr>
          <w:sz w:val="16"/>
          <w:szCs w:val="16"/>
        </w:rPr>
        <w:t xml:space="preserve">, </w:t>
      </w:r>
      <w:proofErr w:type="spellStart"/>
      <w:r w:rsidRPr="009020D6">
        <w:rPr>
          <w:sz w:val="16"/>
          <w:szCs w:val="16"/>
        </w:rPr>
        <w:t>Community</w:t>
      </w:r>
      <w:proofErr w:type="spellEnd"/>
      <w:r w:rsidRPr="009020D6">
        <w:rPr>
          <w:sz w:val="16"/>
          <w:szCs w:val="16"/>
        </w:rPr>
        <w:t xml:space="preserve"> Solutions, </w:t>
      </w:r>
      <w:proofErr w:type="spellStart"/>
      <w:r w:rsidRPr="009020D6">
        <w:rPr>
          <w:sz w:val="16"/>
          <w:szCs w:val="16"/>
        </w:rPr>
        <w:t>June</w:t>
      </w:r>
      <w:proofErr w:type="spellEnd"/>
      <w:r w:rsidRPr="009020D6">
        <w:rPr>
          <w:sz w:val="16"/>
          <w:szCs w:val="16"/>
        </w:rPr>
        <w:t xml:space="preserve"> 26, 2019, </w:t>
      </w:r>
      <w:hyperlink r:id="rId11" w:history="1">
        <w:r w:rsidRPr="009020D6">
          <w:rPr>
            <w:rStyle w:val="Kpr"/>
            <w:sz w:val="16"/>
            <w:szCs w:val="16"/>
          </w:rPr>
          <w:t>https://www.undp.org/content/undp/en/home/librarypage/environment-energy/sgp/blue-economy--community-solutions.html</w:t>
        </w:r>
      </w:hyperlink>
      <w:r w:rsidRPr="009020D6">
        <w:rPr>
          <w:sz w:val="16"/>
          <w:szCs w:val="16"/>
        </w:rPr>
        <w:t xml:space="preserve"> (Erişim Tarihi: 06.06.2020).</w:t>
      </w:r>
    </w:p>
    <w:p w14:paraId="722EE10F" w14:textId="77777777" w:rsidR="00F63879" w:rsidRPr="009020D6" w:rsidRDefault="00F63879" w:rsidP="00F63879">
      <w:pPr>
        <w:rPr>
          <w:b/>
          <w:sz w:val="16"/>
          <w:szCs w:val="16"/>
        </w:rPr>
      </w:pPr>
      <w:r w:rsidRPr="009020D6">
        <w:rPr>
          <w:b/>
          <w:sz w:val="16"/>
          <w:szCs w:val="16"/>
        </w:rPr>
        <w:t xml:space="preserve">Tebliğ </w:t>
      </w:r>
    </w:p>
    <w:p w14:paraId="0B7CEC9F" w14:textId="77777777" w:rsidR="00F63879" w:rsidRPr="009020D6" w:rsidRDefault="00F63879" w:rsidP="00F63879">
      <w:pPr>
        <w:rPr>
          <w:sz w:val="16"/>
          <w:szCs w:val="16"/>
        </w:rPr>
      </w:pPr>
      <w:r w:rsidRPr="009020D6">
        <w:rPr>
          <w:sz w:val="16"/>
          <w:szCs w:val="16"/>
        </w:rPr>
        <w:t xml:space="preserve">Kara, H. (2012). Küresel Kriz Sonrası Para Politikası, </w:t>
      </w:r>
      <w:r w:rsidRPr="009020D6">
        <w:rPr>
          <w:i/>
          <w:sz w:val="16"/>
          <w:szCs w:val="16"/>
        </w:rPr>
        <w:t xml:space="preserve">TCMB Çalışma Tebliğ No: 12/17 </w:t>
      </w:r>
      <w:r w:rsidRPr="009020D6">
        <w:rPr>
          <w:sz w:val="16"/>
          <w:szCs w:val="16"/>
        </w:rPr>
        <w:t>(Ankara: Türkiye Cumhuriyet Merkez Bankası).</w:t>
      </w:r>
    </w:p>
    <w:p w14:paraId="543E0B46" w14:textId="77777777" w:rsidR="00F63879" w:rsidRPr="009020D6" w:rsidRDefault="00F63879" w:rsidP="00F63879">
      <w:pPr>
        <w:rPr>
          <w:sz w:val="16"/>
          <w:szCs w:val="16"/>
        </w:rPr>
      </w:pPr>
    </w:p>
    <w:p w14:paraId="363D9244" w14:textId="77777777" w:rsidR="00F63879" w:rsidRPr="009020D6" w:rsidRDefault="00F63879" w:rsidP="00F63879">
      <w:pPr>
        <w:ind w:firstLine="284"/>
        <w:rPr>
          <w:rFonts w:cs="Nirmala UI Semilight"/>
          <w:szCs w:val="18"/>
          <w:u w:val="single"/>
        </w:rPr>
      </w:pPr>
      <w:r w:rsidRPr="009020D6">
        <w:rPr>
          <w:rFonts w:cs="Nirmala UI Semilight"/>
          <w:szCs w:val="18"/>
          <w:u w:val="single"/>
        </w:rPr>
        <w:t xml:space="preserve">Daha ayrıntılı bilgi için </w:t>
      </w:r>
      <w:hyperlink r:id="rId12" w:history="1">
        <w:r w:rsidRPr="009020D6">
          <w:rPr>
            <w:rStyle w:val="Kpr"/>
            <w:rFonts w:cs="Nirmala UI Semilight"/>
            <w:b/>
            <w:szCs w:val="18"/>
          </w:rPr>
          <w:t>https://apastyle.apa.org/</w:t>
        </w:r>
      </w:hyperlink>
      <w:r w:rsidRPr="009020D6">
        <w:rPr>
          <w:rFonts w:cs="Nirmala UI Semilight"/>
          <w:szCs w:val="18"/>
          <w:u w:val="single"/>
        </w:rPr>
        <w:t xml:space="preserve"> adresinden bilgi alınabilir. </w:t>
      </w:r>
    </w:p>
    <w:p w14:paraId="2C79F786" w14:textId="77777777" w:rsidR="00F63879" w:rsidRPr="009020D6" w:rsidRDefault="00F63879" w:rsidP="00CA3041">
      <w:pPr>
        <w:ind w:firstLine="284"/>
        <w:rPr>
          <w:rFonts w:cs="Nirmala UI Semilight"/>
          <w:szCs w:val="18"/>
        </w:rPr>
      </w:pPr>
    </w:p>
    <w:p w14:paraId="56A0E372" w14:textId="12EB3B74" w:rsidR="00D9001D" w:rsidRPr="009020D6" w:rsidRDefault="00CB46F2" w:rsidP="00D9001D">
      <w:pPr>
        <w:pStyle w:val="Balk1"/>
      </w:pPr>
      <w:r w:rsidRPr="009020D6">
        <w:t>Kaynakça</w:t>
      </w:r>
    </w:p>
    <w:p w14:paraId="75427B01" w14:textId="77777777" w:rsidR="00D9001D" w:rsidRPr="009020D6" w:rsidRDefault="00D9001D" w:rsidP="00F63879">
      <w:pPr>
        <w:pStyle w:val="Altyaz"/>
      </w:pPr>
      <w:proofErr w:type="spellStart"/>
      <w:r w:rsidRPr="009020D6">
        <w:t>Barro</w:t>
      </w:r>
      <w:proofErr w:type="spellEnd"/>
      <w:r w:rsidRPr="009020D6">
        <w:t xml:space="preserve">, R. (1997). </w:t>
      </w:r>
      <w:proofErr w:type="spellStart"/>
      <w:r w:rsidRPr="009020D6">
        <w:rPr>
          <w:i/>
        </w:rPr>
        <w:t>Determinants</w:t>
      </w:r>
      <w:proofErr w:type="spellEnd"/>
      <w:r w:rsidRPr="009020D6">
        <w:rPr>
          <w:i/>
        </w:rPr>
        <w:t xml:space="preserve"> of </w:t>
      </w:r>
      <w:proofErr w:type="spellStart"/>
      <w:r w:rsidRPr="009020D6">
        <w:rPr>
          <w:i/>
        </w:rPr>
        <w:t>Economic</w:t>
      </w:r>
      <w:proofErr w:type="spellEnd"/>
      <w:r w:rsidRPr="009020D6">
        <w:rPr>
          <w:i/>
        </w:rPr>
        <w:t xml:space="preserve"> </w:t>
      </w:r>
      <w:proofErr w:type="spellStart"/>
      <w:r w:rsidRPr="009020D6">
        <w:rPr>
          <w:i/>
        </w:rPr>
        <w:t>Growth</w:t>
      </w:r>
      <w:proofErr w:type="spellEnd"/>
      <w:r w:rsidRPr="009020D6">
        <w:t xml:space="preserve">. Cambridge, MA: MIT </w:t>
      </w:r>
      <w:proofErr w:type="spellStart"/>
      <w:r w:rsidRPr="009020D6">
        <w:t>Press</w:t>
      </w:r>
      <w:proofErr w:type="spellEnd"/>
      <w:r w:rsidRPr="009020D6">
        <w:t>.</w:t>
      </w:r>
    </w:p>
    <w:p w14:paraId="1275D977" w14:textId="6C12CF6B" w:rsidR="00D9001D" w:rsidRPr="009020D6" w:rsidRDefault="00D9001D" w:rsidP="00F63879">
      <w:pPr>
        <w:pStyle w:val="Altyaz"/>
      </w:pPr>
      <w:r w:rsidRPr="009020D6">
        <w:t xml:space="preserve">De </w:t>
      </w:r>
      <w:proofErr w:type="spellStart"/>
      <w:r w:rsidRPr="009020D6">
        <w:t>Gregorio</w:t>
      </w:r>
      <w:proofErr w:type="spellEnd"/>
      <w:r w:rsidRPr="009020D6">
        <w:t xml:space="preserve">, J., &amp; </w:t>
      </w:r>
      <w:proofErr w:type="spellStart"/>
      <w:r w:rsidRPr="009020D6">
        <w:t>Guidotti</w:t>
      </w:r>
      <w:proofErr w:type="spellEnd"/>
      <w:r w:rsidRPr="009020D6">
        <w:t xml:space="preserve">, P. (1995). Financial Development </w:t>
      </w:r>
      <w:proofErr w:type="spellStart"/>
      <w:r w:rsidRPr="009020D6">
        <w:t>and</w:t>
      </w:r>
      <w:proofErr w:type="spellEnd"/>
      <w:r w:rsidRPr="009020D6">
        <w:t xml:space="preserve"> </w:t>
      </w:r>
      <w:proofErr w:type="spellStart"/>
      <w:r w:rsidRPr="009020D6">
        <w:t>Economic</w:t>
      </w:r>
      <w:proofErr w:type="spellEnd"/>
      <w:r w:rsidRPr="009020D6">
        <w:t xml:space="preserve"> </w:t>
      </w:r>
      <w:proofErr w:type="spellStart"/>
      <w:r w:rsidRPr="009020D6">
        <w:t>Growth</w:t>
      </w:r>
      <w:proofErr w:type="spellEnd"/>
      <w:r w:rsidRPr="009020D6">
        <w:t xml:space="preserve">. </w:t>
      </w:r>
      <w:r w:rsidRPr="009020D6">
        <w:rPr>
          <w:i/>
        </w:rPr>
        <w:t>World Development</w:t>
      </w:r>
      <w:r w:rsidR="00197F96">
        <w:t>, 23:</w:t>
      </w:r>
      <w:r w:rsidRPr="009020D6">
        <w:t xml:space="preserve"> 433–448.</w:t>
      </w:r>
    </w:p>
    <w:p w14:paraId="4E2466B2" w14:textId="77777777" w:rsidR="00D9001D" w:rsidRPr="009020D6" w:rsidRDefault="00D9001D" w:rsidP="00F63879">
      <w:pPr>
        <w:ind w:left="709" w:hanging="709"/>
        <w:rPr>
          <w:sz w:val="16"/>
          <w:szCs w:val="16"/>
        </w:rPr>
      </w:pPr>
      <w:r w:rsidRPr="009020D6">
        <w:rPr>
          <w:sz w:val="16"/>
          <w:szCs w:val="16"/>
        </w:rPr>
        <w:t xml:space="preserve">Dual </w:t>
      </w:r>
      <w:proofErr w:type="spellStart"/>
      <w:r w:rsidRPr="009020D6">
        <w:rPr>
          <w:sz w:val="16"/>
          <w:szCs w:val="16"/>
        </w:rPr>
        <w:t>Citizen</w:t>
      </w:r>
      <w:proofErr w:type="spellEnd"/>
      <w:r w:rsidRPr="009020D6">
        <w:rPr>
          <w:sz w:val="16"/>
          <w:szCs w:val="16"/>
        </w:rPr>
        <w:t xml:space="preserve"> (2020). “Global </w:t>
      </w:r>
      <w:proofErr w:type="spellStart"/>
      <w:r w:rsidRPr="009020D6">
        <w:rPr>
          <w:sz w:val="16"/>
          <w:szCs w:val="16"/>
        </w:rPr>
        <w:t>Green</w:t>
      </w:r>
      <w:proofErr w:type="spellEnd"/>
      <w:r w:rsidRPr="009020D6">
        <w:rPr>
          <w:sz w:val="16"/>
          <w:szCs w:val="16"/>
        </w:rPr>
        <w:t xml:space="preserve"> </w:t>
      </w:r>
      <w:proofErr w:type="spellStart"/>
      <w:r w:rsidRPr="009020D6">
        <w:rPr>
          <w:sz w:val="16"/>
          <w:szCs w:val="16"/>
        </w:rPr>
        <w:t>Economy</w:t>
      </w:r>
      <w:proofErr w:type="spellEnd"/>
      <w:r w:rsidRPr="009020D6">
        <w:rPr>
          <w:sz w:val="16"/>
          <w:szCs w:val="16"/>
        </w:rPr>
        <w:t xml:space="preserve"> Index”, </w:t>
      </w:r>
      <w:hyperlink r:id="rId13" w:history="1">
        <w:r w:rsidRPr="009020D6">
          <w:rPr>
            <w:rStyle w:val="Kpr"/>
            <w:sz w:val="16"/>
            <w:szCs w:val="16"/>
          </w:rPr>
          <w:t>https://dualcitizeninc.com/global-green-economy-index/</w:t>
        </w:r>
      </w:hyperlink>
      <w:r w:rsidRPr="009020D6">
        <w:rPr>
          <w:sz w:val="16"/>
          <w:szCs w:val="16"/>
        </w:rPr>
        <w:t xml:space="preserve"> (Erişim Tarihi: 06.06.2020).</w:t>
      </w:r>
    </w:p>
    <w:p w14:paraId="6584AAE8" w14:textId="77777777" w:rsidR="00D9001D" w:rsidRPr="009020D6" w:rsidRDefault="00D9001D" w:rsidP="00F25249">
      <w:pPr>
        <w:ind w:left="227" w:hanging="227"/>
        <w:rPr>
          <w:sz w:val="16"/>
          <w:szCs w:val="16"/>
        </w:rPr>
      </w:pPr>
      <w:r w:rsidRPr="009020D6">
        <w:rPr>
          <w:sz w:val="16"/>
          <w:szCs w:val="16"/>
        </w:rPr>
        <w:lastRenderedPageBreak/>
        <w:t xml:space="preserve">Eroğlu, İ. (Ed.). (2021). </w:t>
      </w:r>
      <w:r w:rsidRPr="009020D6">
        <w:rPr>
          <w:i/>
          <w:sz w:val="16"/>
          <w:szCs w:val="16"/>
        </w:rPr>
        <w:t xml:space="preserve">Türkiye’nin İktisadi Görünümü: Temel Sorunlar ve Çözüm Önerileri. </w:t>
      </w:r>
      <w:r w:rsidRPr="009020D6">
        <w:rPr>
          <w:sz w:val="16"/>
          <w:szCs w:val="16"/>
        </w:rPr>
        <w:t xml:space="preserve">Bursa: Ekin Kitapevi. </w:t>
      </w:r>
    </w:p>
    <w:p w14:paraId="2D9D63DE" w14:textId="77777777" w:rsidR="00D9001D" w:rsidRPr="009020D6" w:rsidRDefault="00D9001D" w:rsidP="00F25249">
      <w:pPr>
        <w:ind w:left="227" w:hanging="227"/>
        <w:rPr>
          <w:sz w:val="16"/>
          <w:szCs w:val="16"/>
        </w:rPr>
      </w:pPr>
      <w:r w:rsidRPr="009020D6">
        <w:rPr>
          <w:sz w:val="16"/>
          <w:szCs w:val="16"/>
        </w:rPr>
        <w:t xml:space="preserve">Eroğlu, İ., Kangal, N. </w:t>
      </w:r>
      <w:proofErr w:type="spellStart"/>
      <w:r w:rsidRPr="009020D6">
        <w:rPr>
          <w:sz w:val="16"/>
          <w:szCs w:val="16"/>
        </w:rPr>
        <w:t>and</w:t>
      </w:r>
      <w:proofErr w:type="spellEnd"/>
      <w:r w:rsidRPr="009020D6">
        <w:rPr>
          <w:sz w:val="16"/>
          <w:szCs w:val="16"/>
        </w:rPr>
        <w:t xml:space="preserve"> F. Yeter. (2019). Türkiye’de İktisat Politikasının Değişimi ve Dönüşümü, İ. Eroğlu (</w:t>
      </w:r>
      <w:proofErr w:type="spellStart"/>
      <w:r w:rsidRPr="009020D6">
        <w:rPr>
          <w:sz w:val="16"/>
          <w:szCs w:val="16"/>
        </w:rPr>
        <w:t>Ed</w:t>
      </w:r>
      <w:proofErr w:type="spellEnd"/>
      <w:r w:rsidRPr="009020D6">
        <w:rPr>
          <w:sz w:val="16"/>
          <w:szCs w:val="16"/>
        </w:rPr>
        <w:t xml:space="preserve">), </w:t>
      </w:r>
      <w:r w:rsidRPr="009020D6">
        <w:rPr>
          <w:i/>
          <w:sz w:val="16"/>
          <w:szCs w:val="16"/>
        </w:rPr>
        <w:t xml:space="preserve">Değişim ve Dönüşüm Perspektifinden İktisadi Dönüşüm </w:t>
      </w:r>
      <w:r w:rsidRPr="009020D6">
        <w:rPr>
          <w:sz w:val="16"/>
          <w:szCs w:val="16"/>
        </w:rPr>
        <w:t xml:space="preserve">içinde (329-366. </w:t>
      </w:r>
      <w:proofErr w:type="spellStart"/>
      <w:r w:rsidRPr="009020D6">
        <w:rPr>
          <w:sz w:val="16"/>
          <w:szCs w:val="16"/>
        </w:rPr>
        <w:t>ss</w:t>
      </w:r>
      <w:proofErr w:type="spellEnd"/>
      <w:r w:rsidRPr="009020D6">
        <w:rPr>
          <w:sz w:val="16"/>
          <w:szCs w:val="16"/>
        </w:rPr>
        <w:t>.). Bursa: Ekin Kitapevi.</w:t>
      </w:r>
    </w:p>
    <w:p w14:paraId="0A0D1079" w14:textId="45B73236" w:rsidR="00D9001D" w:rsidRPr="009020D6" w:rsidRDefault="00D9001D" w:rsidP="00F63879">
      <w:pPr>
        <w:ind w:left="709" w:hanging="709"/>
        <w:rPr>
          <w:sz w:val="16"/>
          <w:szCs w:val="16"/>
        </w:rPr>
      </w:pPr>
      <w:proofErr w:type="spellStart"/>
      <w:r w:rsidRPr="009020D6">
        <w:rPr>
          <w:sz w:val="16"/>
          <w:szCs w:val="16"/>
        </w:rPr>
        <w:t>Goodland</w:t>
      </w:r>
      <w:proofErr w:type="spellEnd"/>
      <w:r w:rsidRPr="009020D6">
        <w:rPr>
          <w:sz w:val="16"/>
          <w:szCs w:val="16"/>
        </w:rPr>
        <w:t xml:space="preserve">, R. (1995). </w:t>
      </w:r>
      <w:proofErr w:type="spellStart"/>
      <w:r w:rsidRPr="009020D6">
        <w:rPr>
          <w:sz w:val="16"/>
          <w:szCs w:val="16"/>
        </w:rPr>
        <w:t>The</w:t>
      </w:r>
      <w:proofErr w:type="spellEnd"/>
      <w:r w:rsidRPr="009020D6">
        <w:rPr>
          <w:sz w:val="16"/>
          <w:szCs w:val="16"/>
        </w:rPr>
        <w:t xml:space="preserve"> </w:t>
      </w:r>
      <w:proofErr w:type="spellStart"/>
      <w:r w:rsidRPr="009020D6">
        <w:rPr>
          <w:sz w:val="16"/>
          <w:szCs w:val="16"/>
        </w:rPr>
        <w:t>Concept</w:t>
      </w:r>
      <w:proofErr w:type="spellEnd"/>
      <w:r w:rsidRPr="009020D6">
        <w:rPr>
          <w:sz w:val="16"/>
          <w:szCs w:val="16"/>
        </w:rPr>
        <w:t xml:space="preserve"> of </w:t>
      </w:r>
      <w:proofErr w:type="spellStart"/>
      <w:r w:rsidRPr="009020D6">
        <w:rPr>
          <w:sz w:val="16"/>
          <w:szCs w:val="16"/>
        </w:rPr>
        <w:t>Environmental</w:t>
      </w:r>
      <w:proofErr w:type="spellEnd"/>
      <w:r w:rsidRPr="009020D6">
        <w:rPr>
          <w:sz w:val="16"/>
          <w:szCs w:val="16"/>
        </w:rPr>
        <w:t xml:space="preserve"> </w:t>
      </w:r>
      <w:proofErr w:type="spellStart"/>
      <w:r w:rsidRPr="009020D6">
        <w:rPr>
          <w:sz w:val="16"/>
          <w:szCs w:val="16"/>
        </w:rPr>
        <w:t>Sustainability</w:t>
      </w:r>
      <w:proofErr w:type="spellEnd"/>
      <w:r w:rsidRPr="009020D6">
        <w:rPr>
          <w:sz w:val="16"/>
          <w:szCs w:val="16"/>
        </w:rPr>
        <w:t xml:space="preserve">, </w:t>
      </w:r>
      <w:proofErr w:type="spellStart"/>
      <w:r w:rsidRPr="009020D6">
        <w:rPr>
          <w:i/>
          <w:sz w:val="16"/>
          <w:szCs w:val="16"/>
        </w:rPr>
        <w:t>Annual</w:t>
      </w:r>
      <w:proofErr w:type="spellEnd"/>
      <w:r w:rsidRPr="009020D6">
        <w:rPr>
          <w:i/>
          <w:sz w:val="16"/>
          <w:szCs w:val="16"/>
        </w:rPr>
        <w:t xml:space="preserve"> </w:t>
      </w:r>
      <w:proofErr w:type="spellStart"/>
      <w:r w:rsidRPr="009020D6">
        <w:rPr>
          <w:i/>
          <w:sz w:val="16"/>
          <w:szCs w:val="16"/>
        </w:rPr>
        <w:t>Review</w:t>
      </w:r>
      <w:proofErr w:type="spellEnd"/>
      <w:r w:rsidRPr="009020D6">
        <w:rPr>
          <w:i/>
          <w:sz w:val="16"/>
          <w:szCs w:val="16"/>
        </w:rPr>
        <w:t xml:space="preserve"> of </w:t>
      </w:r>
      <w:proofErr w:type="spellStart"/>
      <w:r w:rsidRPr="009020D6">
        <w:rPr>
          <w:i/>
          <w:sz w:val="16"/>
          <w:szCs w:val="16"/>
        </w:rPr>
        <w:t>Ecology</w:t>
      </w:r>
      <w:proofErr w:type="spellEnd"/>
      <w:r w:rsidRPr="009020D6">
        <w:rPr>
          <w:i/>
          <w:sz w:val="16"/>
          <w:szCs w:val="16"/>
        </w:rPr>
        <w:t xml:space="preserve"> </w:t>
      </w:r>
      <w:proofErr w:type="spellStart"/>
      <w:r w:rsidRPr="009020D6">
        <w:rPr>
          <w:i/>
          <w:sz w:val="16"/>
          <w:szCs w:val="16"/>
        </w:rPr>
        <w:t>and</w:t>
      </w:r>
      <w:proofErr w:type="spellEnd"/>
      <w:r w:rsidRPr="009020D6">
        <w:rPr>
          <w:i/>
          <w:sz w:val="16"/>
          <w:szCs w:val="16"/>
        </w:rPr>
        <w:t xml:space="preserve"> </w:t>
      </w:r>
      <w:proofErr w:type="spellStart"/>
      <w:r w:rsidRPr="009020D6">
        <w:rPr>
          <w:i/>
          <w:sz w:val="16"/>
          <w:szCs w:val="16"/>
        </w:rPr>
        <w:t>Systematics</w:t>
      </w:r>
      <w:proofErr w:type="spellEnd"/>
      <w:r w:rsidR="00197F96">
        <w:rPr>
          <w:sz w:val="16"/>
          <w:szCs w:val="16"/>
        </w:rPr>
        <w:t xml:space="preserve">, 26: </w:t>
      </w:r>
      <w:r w:rsidRPr="009020D6">
        <w:rPr>
          <w:sz w:val="16"/>
          <w:szCs w:val="16"/>
        </w:rPr>
        <w:t>1–24.</w:t>
      </w:r>
    </w:p>
    <w:p w14:paraId="323D96BF" w14:textId="20A5CAB2" w:rsidR="00D9001D" w:rsidRPr="009020D6" w:rsidRDefault="00D9001D" w:rsidP="00F63879">
      <w:pPr>
        <w:pStyle w:val="Altyaz"/>
      </w:pPr>
      <w:r w:rsidRPr="009020D6">
        <w:t xml:space="preserve">Kar, M., </w:t>
      </w:r>
      <w:proofErr w:type="spellStart"/>
      <w:r w:rsidRPr="009020D6">
        <w:t>Nazlioglu</w:t>
      </w:r>
      <w:proofErr w:type="spellEnd"/>
      <w:r w:rsidRPr="009020D6">
        <w:t xml:space="preserve">, S., </w:t>
      </w:r>
      <w:proofErr w:type="spellStart"/>
      <w:r w:rsidRPr="009020D6">
        <w:t>and</w:t>
      </w:r>
      <w:proofErr w:type="spellEnd"/>
      <w:r w:rsidRPr="009020D6">
        <w:t xml:space="preserve"> H. </w:t>
      </w:r>
      <w:proofErr w:type="spellStart"/>
      <w:r w:rsidRPr="009020D6">
        <w:t>Agir</w:t>
      </w:r>
      <w:proofErr w:type="spellEnd"/>
      <w:r w:rsidRPr="009020D6">
        <w:t xml:space="preserve">. (2014). </w:t>
      </w:r>
      <w:proofErr w:type="spellStart"/>
      <w:r w:rsidRPr="009020D6">
        <w:t>Trade</w:t>
      </w:r>
      <w:proofErr w:type="spellEnd"/>
      <w:r w:rsidRPr="009020D6">
        <w:t xml:space="preserve"> </w:t>
      </w:r>
      <w:proofErr w:type="spellStart"/>
      <w:r w:rsidRPr="009020D6">
        <w:t>Openness</w:t>
      </w:r>
      <w:proofErr w:type="spellEnd"/>
      <w:r w:rsidRPr="009020D6">
        <w:t xml:space="preserve">, Financial Development, </w:t>
      </w:r>
      <w:proofErr w:type="spellStart"/>
      <w:r w:rsidRPr="009020D6">
        <w:t>and</w:t>
      </w:r>
      <w:proofErr w:type="spellEnd"/>
      <w:r w:rsidRPr="009020D6">
        <w:t xml:space="preserve"> </w:t>
      </w:r>
      <w:proofErr w:type="spellStart"/>
      <w:r w:rsidRPr="009020D6">
        <w:t>Economic</w:t>
      </w:r>
      <w:proofErr w:type="spellEnd"/>
      <w:r w:rsidRPr="009020D6">
        <w:t xml:space="preserve"> </w:t>
      </w:r>
      <w:proofErr w:type="spellStart"/>
      <w:r w:rsidRPr="009020D6">
        <w:t>Growth</w:t>
      </w:r>
      <w:proofErr w:type="spellEnd"/>
      <w:r w:rsidRPr="009020D6">
        <w:t xml:space="preserve"> in </w:t>
      </w:r>
      <w:proofErr w:type="spellStart"/>
      <w:r w:rsidRPr="009020D6">
        <w:t>Turkey</w:t>
      </w:r>
      <w:proofErr w:type="spellEnd"/>
      <w:r w:rsidRPr="009020D6">
        <w:t xml:space="preserve">: </w:t>
      </w:r>
      <w:proofErr w:type="spellStart"/>
      <w:r w:rsidRPr="009020D6">
        <w:t>Linear</w:t>
      </w:r>
      <w:proofErr w:type="spellEnd"/>
      <w:r w:rsidRPr="009020D6">
        <w:t xml:space="preserve"> </w:t>
      </w:r>
      <w:proofErr w:type="spellStart"/>
      <w:r w:rsidRPr="009020D6">
        <w:t>and</w:t>
      </w:r>
      <w:proofErr w:type="spellEnd"/>
      <w:r w:rsidRPr="009020D6">
        <w:t xml:space="preserve"> </w:t>
      </w:r>
      <w:proofErr w:type="spellStart"/>
      <w:r w:rsidRPr="009020D6">
        <w:t>Nonlinear</w:t>
      </w:r>
      <w:proofErr w:type="spellEnd"/>
      <w:r w:rsidRPr="009020D6">
        <w:t xml:space="preserve"> </w:t>
      </w:r>
      <w:proofErr w:type="spellStart"/>
      <w:r w:rsidRPr="009020D6">
        <w:t>Causality</w:t>
      </w:r>
      <w:proofErr w:type="spellEnd"/>
      <w:r w:rsidRPr="009020D6">
        <w:t xml:space="preserve"> Analysis. </w:t>
      </w:r>
      <w:proofErr w:type="spellStart"/>
      <w:r w:rsidRPr="009020D6">
        <w:rPr>
          <w:i/>
        </w:rPr>
        <w:t>Journal</w:t>
      </w:r>
      <w:proofErr w:type="spellEnd"/>
      <w:r w:rsidRPr="009020D6">
        <w:rPr>
          <w:i/>
        </w:rPr>
        <w:t xml:space="preserve"> of BRSA </w:t>
      </w:r>
      <w:proofErr w:type="spellStart"/>
      <w:r w:rsidRPr="009020D6">
        <w:rPr>
          <w:i/>
        </w:rPr>
        <w:t>Banking</w:t>
      </w:r>
      <w:proofErr w:type="spellEnd"/>
      <w:r w:rsidRPr="009020D6">
        <w:rPr>
          <w:i/>
        </w:rPr>
        <w:t xml:space="preserve"> </w:t>
      </w:r>
      <w:proofErr w:type="spellStart"/>
      <w:r w:rsidRPr="009020D6">
        <w:rPr>
          <w:i/>
        </w:rPr>
        <w:t>and</w:t>
      </w:r>
      <w:proofErr w:type="spellEnd"/>
      <w:r w:rsidRPr="009020D6">
        <w:rPr>
          <w:i/>
        </w:rPr>
        <w:t xml:space="preserve"> Financial </w:t>
      </w:r>
      <w:proofErr w:type="spellStart"/>
      <w:r w:rsidRPr="009020D6">
        <w:rPr>
          <w:i/>
        </w:rPr>
        <w:t>Markets</w:t>
      </w:r>
      <w:proofErr w:type="spellEnd"/>
      <w:r w:rsidRPr="009020D6">
        <w:t>, </w:t>
      </w:r>
      <w:r w:rsidRPr="009020D6">
        <w:rPr>
          <w:i/>
        </w:rPr>
        <w:t>8</w:t>
      </w:r>
      <w:r w:rsidR="00197F96">
        <w:t>(1):</w:t>
      </w:r>
      <w:r w:rsidRPr="009020D6">
        <w:t xml:space="preserve"> 63-86.</w:t>
      </w:r>
    </w:p>
    <w:p w14:paraId="7FCCFE57" w14:textId="3BE2F7DC" w:rsidR="00D9001D" w:rsidRPr="009020D6" w:rsidRDefault="00D9001D" w:rsidP="00F63879">
      <w:pPr>
        <w:pStyle w:val="Altyaz"/>
      </w:pPr>
      <w:r w:rsidRPr="009020D6">
        <w:t xml:space="preserve">Karaca, O. (2012). Finansal Gelişme ve Ekonomik Büyüme: Türkiye İçin Bir Nedensellik Analizi. </w:t>
      </w:r>
      <w:proofErr w:type="spellStart"/>
      <w:r w:rsidRPr="009020D6">
        <w:rPr>
          <w:i/>
        </w:rPr>
        <w:t>Journal</w:t>
      </w:r>
      <w:proofErr w:type="spellEnd"/>
      <w:r w:rsidRPr="009020D6">
        <w:rPr>
          <w:i/>
        </w:rPr>
        <w:t xml:space="preserve"> of BRSA </w:t>
      </w:r>
      <w:proofErr w:type="spellStart"/>
      <w:r w:rsidRPr="009020D6">
        <w:rPr>
          <w:i/>
        </w:rPr>
        <w:t>Ba</w:t>
      </w:r>
      <w:r w:rsidR="00197F96">
        <w:rPr>
          <w:i/>
        </w:rPr>
        <w:t>nking</w:t>
      </w:r>
      <w:proofErr w:type="spellEnd"/>
      <w:r w:rsidR="00197F96">
        <w:rPr>
          <w:i/>
        </w:rPr>
        <w:t xml:space="preserve"> &amp; Financial </w:t>
      </w:r>
      <w:proofErr w:type="spellStart"/>
      <w:r w:rsidR="00197F96">
        <w:rPr>
          <w:i/>
        </w:rPr>
        <w:t>Markets</w:t>
      </w:r>
      <w:proofErr w:type="spellEnd"/>
      <w:r w:rsidR="00197F96">
        <w:rPr>
          <w:i/>
        </w:rPr>
        <w:t>, 6(2)</w:t>
      </w:r>
      <w:r w:rsidR="00197F96" w:rsidRPr="00197F96">
        <w:t>:</w:t>
      </w:r>
      <w:r w:rsidRPr="009020D6">
        <w:rPr>
          <w:i/>
        </w:rPr>
        <w:t xml:space="preserve"> </w:t>
      </w:r>
      <w:r w:rsidRPr="009020D6">
        <w:t>85-111.</w:t>
      </w:r>
    </w:p>
    <w:p w14:paraId="76465174" w14:textId="3A2EF787" w:rsidR="00D9001D" w:rsidRPr="009020D6" w:rsidRDefault="00D9001D" w:rsidP="00F63879">
      <w:pPr>
        <w:pStyle w:val="Altyaz"/>
      </w:pPr>
      <w:r w:rsidRPr="009020D6">
        <w:t xml:space="preserve">Keskin, N., </w:t>
      </w:r>
      <w:proofErr w:type="spellStart"/>
      <w:r w:rsidRPr="009020D6">
        <w:t>and</w:t>
      </w:r>
      <w:proofErr w:type="spellEnd"/>
      <w:r w:rsidRPr="009020D6">
        <w:t xml:space="preserve"> Karşıyakalı, B. (2010). Finansal Gelişme ve Ekonomik Büyüme İlişkisi: Türkiye Örneği. </w:t>
      </w:r>
      <w:r w:rsidRPr="009020D6">
        <w:rPr>
          <w:i/>
        </w:rPr>
        <w:t>Finans Politik ve Ekonomik Yorumlar</w:t>
      </w:r>
      <w:r w:rsidRPr="009020D6">
        <w:t>, </w:t>
      </w:r>
      <w:r w:rsidRPr="009020D6">
        <w:rPr>
          <w:i/>
        </w:rPr>
        <w:t>47</w:t>
      </w:r>
      <w:r w:rsidR="00197F96">
        <w:t>(548):</w:t>
      </w:r>
      <w:r w:rsidRPr="009020D6">
        <w:t xml:space="preserve"> 76-94.</w:t>
      </w:r>
    </w:p>
    <w:p w14:paraId="02AFC71B" w14:textId="6D372AFF" w:rsidR="00D9001D" w:rsidRPr="009020D6" w:rsidRDefault="00D9001D" w:rsidP="00F25249">
      <w:pPr>
        <w:ind w:left="227" w:hanging="227"/>
        <w:rPr>
          <w:bCs/>
          <w:sz w:val="16"/>
          <w:szCs w:val="16"/>
        </w:rPr>
      </w:pPr>
      <w:proofErr w:type="spellStart"/>
      <w:r w:rsidRPr="009020D6">
        <w:rPr>
          <w:bCs/>
          <w:sz w:val="16"/>
          <w:szCs w:val="16"/>
        </w:rPr>
        <w:t>Klapper</w:t>
      </w:r>
      <w:proofErr w:type="spellEnd"/>
      <w:r w:rsidRPr="009020D6">
        <w:rPr>
          <w:bCs/>
          <w:sz w:val="16"/>
          <w:szCs w:val="16"/>
        </w:rPr>
        <w:t xml:space="preserve">, L., </w:t>
      </w:r>
      <w:proofErr w:type="spellStart"/>
      <w:r w:rsidRPr="009020D6">
        <w:rPr>
          <w:bCs/>
          <w:sz w:val="16"/>
          <w:szCs w:val="16"/>
        </w:rPr>
        <w:t>Laeven</w:t>
      </w:r>
      <w:proofErr w:type="spellEnd"/>
      <w:r w:rsidRPr="009020D6">
        <w:rPr>
          <w:bCs/>
          <w:sz w:val="16"/>
          <w:szCs w:val="16"/>
        </w:rPr>
        <w:t xml:space="preserve">, L. </w:t>
      </w:r>
      <w:proofErr w:type="spellStart"/>
      <w:r w:rsidRPr="009020D6">
        <w:rPr>
          <w:bCs/>
          <w:sz w:val="16"/>
          <w:szCs w:val="16"/>
        </w:rPr>
        <w:t>and</w:t>
      </w:r>
      <w:proofErr w:type="spellEnd"/>
      <w:r w:rsidRPr="009020D6">
        <w:rPr>
          <w:bCs/>
          <w:sz w:val="16"/>
          <w:szCs w:val="16"/>
        </w:rPr>
        <w:t xml:space="preserve"> R. </w:t>
      </w:r>
      <w:proofErr w:type="spellStart"/>
      <w:r w:rsidRPr="009020D6">
        <w:rPr>
          <w:bCs/>
          <w:sz w:val="16"/>
          <w:szCs w:val="16"/>
        </w:rPr>
        <w:t>Rajan</w:t>
      </w:r>
      <w:proofErr w:type="spellEnd"/>
      <w:r w:rsidRPr="009020D6">
        <w:rPr>
          <w:bCs/>
          <w:sz w:val="16"/>
          <w:szCs w:val="16"/>
        </w:rPr>
        <w:t xml:space="preserve">. (2006). </w:t>
      </w:r>
      <w:proofErr w:type="spellStart"/>
      <w:r w:rsidRPr="009020D6">
        <w:rPr>
          <w:bCs/>
          <w:sz w:val="16"/>
          <w:szCs w:val="16"/>
        </w:rPr>
        <w:t>Entry</w:t>
      </w:r>
      <w:proofErr w:type="spellEnd"/>
      <w:r w:rsidRPr="009020D6">
        <w:rPr>
          <w:bCs/>
          <w:sz w:val="16"/>
          <w:szCs w:val="16"/>
        </w:rPr>
        <w:t xml:space="preserve"> </w:t>
      </w:r>
      <w:proofErr w:type="spellStart"/>
      <w:r w:rsidRPr="009020D6">
        <w:rPr>
          <w:bCs/>
          <w:sz w:val="16"/>
          <w:szCs w:val="16"/>
        </w:rPr>
        <w:t>Regulation</w:t>
      </w:r>
      <w:proofErr w:type="spellEnd"/>
      <w:r w:rsidRPr="009020D6">
        <w:rPr>
          <w:bCs/>
          <w:sz w:val="16"/>
          <w:szCs w:val="16"/>
        </w:rPr>
        <w:t xml:space="preserve"> as a </w:t>
      </w:r>
      <w:proofErr w:type="spellStart"/>
      <w:r w:rsidRPr="009020D6">
        <w:rPr>
          <w:bCs/>
          <w:sz w:val="16"/>
          <w:szCs w:val="16"/>
        </w:rPr>
        <w:t>Barrier</w:t>
      </w:r>
      <w:proofErr w:type="spellEnd"/>
      <w:r w:rsidRPr="009020D6">
        <w:rPr>
          <w:bCs/>
          <w:sz w:val="16"/>
          <w:szCs w:val="16"/>
        </w:rPr>
        <w:t xml:space="preserve"> </w:t>
      </w:r>
      <w:proofErr w:type="spellStart"/>
      <w:r w:rsidRPr="009020D6">
        <w:rPr>
          <w:bCs/>
          <w:sz w:val="16"/>
          <w:szCs w:val="16"/>
        </w:rPr>
        <w:t>to</w:t>
      </w:r>
      <w:proofErr w:type="spellEnd"/>
      <w:r w:rsidRPr="009020D6">
        <w:rPr>
          <w:bCs/>
          <w:sz w:val="16"/>
          <w:szCs w:val="16"/>
        </w:rPr>
        <w:t xml:space="preserve"> </w:t>
      </w:r>
      <w:proofErr w:type="spellStart"/>
      <w:r w:rsidRPr="009020D6">
        <w:rPr>
          <w:bCs/>
          <w:sz w:val="16"/>
          <w:szCs w:val="16"/>
        </w:rPr>
        <w:t>Entrepreneurship</w:t>
      </w:r>
      <w:proofErr w:type="spellEnd"/>
      <w:r w:rsidRPr="009020D6">
        <w:rPr>
          <w:bCs/>
          <w:sz w:val="16"/>
          <w:szCs w:val="16"/>
        </w:rPr>
        <w:t xml:space="preserve">. </w:t>
      </w:r>
      <w:proofErr w:type="spellStart"/>
      <w:r w:rsidRPr="009020D6">
        <w:rPr>
          <w:bCs/>
          <w:i/>
          <w:sz w:val="16"/>
          <w:szCs w:val="16"/>
        </w:rPr>
        <w:t>Journal</w:t>
      </w:r>
      <w:proofErr w:type="spellEnd"/>
      <w:r w:rsidRPr="009020D6">
        <w:rPr>
          <w:bCs/>
          <w:i/>
          <w:sz w:val="16"/>
          <w:szCs w:val="16"/>
        </w:rPr>
        <w:t xml:space="preserve"> of Financial </w:t>
      </w:r>
      <w:proofErr w:type="spellStart"/>
      <w:r w:rsidRPr="009020D6">
        <w:rPr>
          <w:bCs/>
          <w:i/>
          <w:sz w:val="16"/>
          <w:szCs w:val="16"/>
        </w:rPr>
        <w:t>Economics</w:t>
      </w:r>
      <w:proofErr w:type="spellEnd"/>
      <w:r w:rsidR="00197F96">
        <w:rPr>
          <w:bCs/>
          <w:sz w:val="16"/>
          <w:szCs w:val="16"/>
        </w:rPr>
        <w:t>, 82:</w:t>
      </w:r>
      <w:r w:rsidRPr="009020D6">
        <w:rPr>
          <w:bCs/>
          <w:sz w:val="16"/>
          <w:szCs w:val="16"/>
        </w:rPr>
        <w:t xml:space="preserve"> 591-652.</w:t>
      </w:r>
    </w:p>
    <w:p w14:paraId="2C7602F1" w14:textId="1E08023C" w:rsidR="00D9001D" w:rsidRPr="009020D6" w:rsidRDefault="00D9001D" w:rsidP="00487823">
      <w:pPr>
        <w:pStyle w:val="Altyaz"/>
        <w:rPr>
          <w:bCs/>
        </w:rPr>
      </w:pPr>
      <w:proofErr w:type="spellStart"/>
      <w:r w:rsidRPr="009020D6">
        <w:rPr>
          <w:bCs/>
        </w:rPr>
        <w:t>Panahi</w:t>
      </w:r>
      <w:proofErr w:type="spellEnd"/>
      <w:r w:rsidRPr="009020D6">
        <w:rPr>
          <w:bCs/>
        </w:rPr>
        <w:t xml:space="preserve">, H., </w:t>
      </w:r>
      <w:proofErr w:type="spellStart"/>
      <w:r w:rsidRPr="009020D6">
        <w:rPr>
          <w:bCs/>
        </w:rPr>
        <w:t>Assadzadeh</w:t>
      </w:r>
      <w:proofErr w:type="spellEnd"/>
      <w:r w:rsidRPr="009020D6">
        <w:rPr>
          <w:bCs/>
        </w:rPr>
        <w:t xml:space="preserve">, A. </w:t>
      </w:r>
      <w:proofErr w:type="spellStart"/>
      <w:r w:rsidRPr="009020D6">
        <w:rPr>
          <w:bCs/>
        </w:rPr>
        <w:t>and</w:t>
      </w:r>
      <w:proofErr w:type="spellEnd"/>
      <w:r w:rsidRPr="009020D6">
        <w:rPr>
          <w:bCs/>
        </w:rPr>
        <w:t xml:space="preserve"> R. </w:t>
      </w:r>
      <w:proofErr w:type="spellStart"/>
      <w:r w:rsidRPr="009020D6">
        <w:rPr>
          <w:bCs/>
        </w:rPr>
        <w:t>Refaeı</w:t>
      </w:r>
      <w:proofErr w:type="spellEnd"/>
      <w:r w:rsidRPr="009020D6">
        <w:rPr>
          <w:bCs/>
        </w:rPr>
        <w:t xml:space="preserve">. (2014). </w:t>
      </w:r>
      <w:proofErr w:type="spellStart"/>
      <w:r w:rsidRPr="009020D6">
        <w:rPr>
          <w:bCs/>
        </w:rPr>
        <w:t>Economıic</w:t>
      </w:r>
      <w:proofErr w:type="spellEnd"/>
      <w:r w:rsidRPr="009020D6">
        <w:rPr>
          <w:bCs/>
        </w:rPr>
        <w:t xml:space="preserve"> </w:t>
      </w:r>
      <w:proofErr w:type="spellStart"/>
      <w:r w:rsidRPr="009020D6">
        <w:rPr>
          <w:bCs/>
        </w:rPr>
        <w:t>Freedom</w:t>
      </w:r>
      <w:proofErr w:type="spellEnd"/>
      <w:r w:rsidRPr="009020D6">
        <w:rPr>
          <w:bCs/>
        </w:rPr>
        <w:t xml:space="preserve"> </w:t>
      </w:r>
      <w:proofErr w:type="spellStart"/>
      <w:r w:rsidRPr="009020D6">
        <w:rPr>
          <w:bCs/>
        </w:rPr>
        <w:t>and</w:t>
      </w:r>
      <w:proofErr w:type="spellEnd"/>
      <w:r w:rsidRPr="009020D6">
        <w:rPr>
          <w:bCs/>
        </w:rPr>
        <w:t xml:space="preserve"> </w:t>
      </w:r>
      <w:proofErr w:type="spellStart"/>
      <w:r w:rsidRPr="009020D6">
        <w:rPr>
          <w:bCs/>
        </w:rPr>
        <w:t>Economic</w:t>
      </w:r>
      <w:proofErr w:type="spellEnd"/>
      <w:r w:rsidRPr="009020D6">
        <w:rPr>
          <w:bCs/>
        </w:rPr>
        <w:t xml:space="preserve"> </w:t>
      </w:r>
      <w:proofErr w:type="spellStart"/>
      <w:r w:rsidRPr="009020D6">
        <w:rPr>
          <w:bCs/>
        </w:rPr>
        <w:t>Growth</w:t>
      </w:r>
      <w:proofErr w:type="spellEnd"/>
      <w:r w:rsidRPr="009020D6">
        <w:rPr>
          <w:bCs/>
        </w:rPr>
        <w:t xml:space="preserve"> in MENA </w:t>
      </w:r>
      <w:proofErr w:type="spellStart"/>
      <w:r w:rsidRPr="009020D6">
        <w:rPr>
          <w:bCs/>
        </w:rPr>
        <w:t>Countries</w:t>
      </w:r>
      <w:proofErr w:type="spellEnd"/>
      <w:r w:rsidRPr="009020D6">
        <w:rPr>
          <w:bCs/>
        </w:rPr>
        <w:t xml:space="preserve">. </w:t>
      </w:r>
      <w:proofErr w:type="spellStart"/>
      <w:proofErr w:type="gramStart"/>
      <w:r w:rsidRPr="009020D6">
        <w:rPr>
          <w:bCs/>
          <w:i/>
        </w:rPr>
        <w:t>Asian</w:t>
      </w:r>
      <w:proofErr w:type="spellEnd"/>
      <w:r w:rsidRPr="009020D6">
        <w:rPr>
          <w:bCs/>
          <w:i/>
        </w:rPr>
        <w:t xml:space="preserve">  </w:t>
      </w:r>
      <w:proofErr w:type="spellStart"/>
      <w:r w:rsidRPr="009020D6">
        <w:rPr>
          <w:bCs/>
          <w:i/>
        </w:rPr>
        <w:t>Economic</w:t>
      </w:r>
      <w:proofErr w:type="spellEnd"/>
      <w:proofErr w:type="gramEnd"/>
      <w:r w:rsidRPr="009020D6">
        <w:rPr>
          <w:bCs/>
          <w:i/>
        </w:rPr>
        <w:t xml:space="preserve">  </w:t>
      </w:r>
      <w:proofErr w:type="spellStart"/>
      <w:r w:rsidRPr="009020D6">
        <w:rPr>
          <w:bCs/>
          <w:i/>
        </w:rPr>
        <w:t>and</w:t>
      </w:r>
      <w:proofErr w:type="spellEnd"/>
      <w:r w:rsidRPr="009020D6">
        <w:rPr>
          <w:bCs/>
          <w:i/>
        </w:rPr>
        <w:t xml:space="preserve">  Financial  </w:t>
      </w:r>
      <w:proofErr w:type="spellStart"/>
      <w:r w:rsidRPr="009020D6">
        <w:rPr>
          <w:bCs/>
          <w:i/>
        </w:rPr>
        <w:t>Review</w:t>
      </w:r>
      <w:proofErr w:type="spellEnd"/>
      <w:r w:rsidR="00197F96">
        <w:rPr>
          <w:bCs/>
        </w:rPr>
        <w:t>, 4(1):</w:t>
      </w:r>
      <w:r w:rsidRPr="009020D6">
        <w:rPr>
          <w:bCs/>
        </w:rPr>
        <w:t xml:space="preserve"> 105-116</w:t>
      </w:r>
    </w:p>
    <w:p w14:paraId="465BB0DE" w14:textId="77777777" w:rsidR="00D9001D" w:rsidRPr="009020D6" w:rsidRDefault="00D9001D" w:rsidP="00F63879">
      <w:pPr>
        <w:ind w:left="709" w:hanging="709"/>
        <w:rPr>
          <w:sz w:val="16"/>
          <w:szCs w:val="16"/>
        </w:rPr>
      </w:pPr>
      <w:r w:rsidRPr="009020D6">
        <w:rPr>
          <w:sz w:val="16"/>
          <w:szCs w:val="16"/>
        </w:rPr>
        <w:t xml:space="preserve">Seyidoğlu, H. (2020). </w:t>
      </w:r>
      <w:r w:rsidRPr="009020D6">
        <w:rPr>
          <w:i/>
          <w:sz w:val="16"/>
          <w:szCs w:val="16"/>
        </w:rPr>
        <w:t>Uluslararası İktisat, Teori, Politika ve Uygulama.</w:t>
      </w:r>
      <w:r w:rsidRPr="009020D6">
        <w:rPr>
          <w:sz w:val="16"/>
          <w:szCs w:val="16"/>
        </w:rPr>
        <w:t xml:space="preserve"> İstanbul: </w:t>
      </w:r>
      <w:proofErr w:type="spellStart"/>
      <w:r w:rsidRPr="009020D6">
        <w:rPr>
          <w:sz w:val="16"/>
          <w:szCs w:val="16"/>
        </w:rPr>
        <w:t>Güzem</w:t>
      </w:r>
      <w:proofErr w:type="spellEnd"/>
      <w:r w:rsidRPr="009020D6">
        <w:rPr>
          <w:sz w:val="16"/>
          <w:szCs w:val="16"/>
        </w:rPr>
        <w:t xml:space="preserve"> Can Yayınları.</w:t>
      </w:r>
    </w:p>
    <w:p w14:paraId="469D12E8" w14:textId="6B671E37" w:rsidR="00D9001D" w:rsidRDefault="00D9001D" w:rsidP="00F63879">
      <w:pPr>
        <w:ind w:left="709" w:hanging="709"/>
        <w:rPr>
          <w:sz w:val="16"/>
          <w:szCs w:val="16"/>
        </w:rPr>
      </w:pPr>
      <w:r w:rsidRPr="009020D6">
        <w:rPr>
          <w:sz w:val="16"/>
          <w:szCs w:val="16"/>
        </w:rPr>
        <w:t xml:space="preserve">Yıldırım, K., Mercan, M. </w:t>
      </w:r>
      <w:proofErr w:type="spellStart"/>
      <w:r w:rsidRPr="009020D6">
        <w:rPr>
          <w:sz w:val="16"/>
          <w:szCs w:val="16"/>
        </w:rPr>
        <w:t>and</w:t>
      </w:r>
      <w:proofErr w:type="spellEnd"/>
      <w:r w:rsidRPr="009020D6">
        <w:rPr>
          <w:sz w:val="16"/>
          <w:szCs w:val="16"/>
        </w:rPr>
        <w:t xml:space="preserve"> F. Kostakoğlu. (2013). Satın Alma Gücü Paritesinin Geçerliliğinin Test Edilmesi: Zaman Serisi ve Panel Veri Analizi. </w:t>
      </w:r>
      <w:r w:rsidRPr="009020D6">
        <w:rPr>
          <w:i/>
          <w:sz w:val="16"/>
          <w:szCs w:val="16"/>
        </w:rPr>
        <w:t>Eskişehir Osmangazi Üniversitesi İİBF Dergisi</w:t>
      </w:r>
      <w:r w:rsidR="00197F96">
        <w:rPr>
          <w:sz w:val="16"/>
          <w:szCs w:val="16"/>
        </w:rPr>
        <w:t xml:space="preserve">, 8(3): </w:t>
      </w:r>
      <w:r w:rsidRPr="009020D6">
        <w:rPr>
          <w:sz w:val="16"/>
          <w:szCs w:val="16"/>
        </w:rPr>
        <w:t>75- 95.</w:t>
      </w:r>
    </w:p>
    <w:p w14:paraId="0FA0BE37" w14:textId="77777777" w:rsidR="00F63879" w:rsidRPr="00F63879" w:rsidRDefault="00F63879" w:rsidP="00F63879">
      <w:pPr>
        <w:ind w:firstLine="0"/>
        <w:rPr>
          <w:sz w:val="16"/>
          <w:szCs w:val="16"/>
        </w:rPr>
      </w:pPr>
    </w:p>
    <w:p w14:paraId="67EB88F5" w14:textId="77777777" w:rsidR="00AB2062" w:rsidRDefault="00AB2062" w:rsidP="00AB2062"/>
    <w:p w14:paraId="51F21CA8" w14:textId="77777777" w:rsidR="00AB2062" w:rsidRDefault="00AB2062" w:rsidP="00AB2062"/>
    <w:p w14:paraId="18E5E18A" w14:textId="77777777" w:rsidR="00CA3041" w:rsidRPr="00CA3041" w:rsidRDefault="00CA3041" w:rsidP="00CA3041"/>
    <w:sectPr w:rsidR="00CA3041" w:rsidRPr="00CA3041" w:rsidSect="003E68BD">
      <w:type w:val="continuous"/>
      <w:pgSz w:w="11906" w:h="16838"/>
      <w:pgMar w:top="1134" w:right="851" w:bottom="1134" w:left="851"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B5F0E" w14:textId="77777777" w:rsidR="00F7114E" w:rsidRDefault="00F7114E" w:rsidP="00733875">
      <w:r>
        <w:separator/>
      </w:r>
    </w:p>
  </w:endnote>
  <w:endnote w:type="continuationSeparator" w:id="0">
    <w:p w14:paraId="07B7CD8D" w14:textId="77777777" w:rsidR="00F7114E" w:rsidRDefault="00F7114E" w:rsidP="0073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tka Display">
    <w:panose1 w:val="02000505000000020004"/>
    <w:charset w:val="A2"/>
    <w:family w:val="auto"/>
    <w:pitch w:val="variable"/>
    <w:sig w:usb0="A00002EF" w:usb1="4000204B" w:usb2="00000000" w:usb3="00000000" w:csb0="0000019F" w:csb1="00000000"/>
  </w:font>
  <w:font w:name="Nirmala UI Semilight">
    <w:panose1 w:val="020B0402040204020203"/>
    <w:charset w:val="00"/>
    <w:family w:val="swiss"/>
    <w:pitch w:val="variable"/>
    <w:sig w:usb0="80FF8023" w:usb1="0200004A" w:usb2="00000200" w:usb3="00000000" w:csb0="00000001" w:csb1="00000000"/>
  </w:font>
  <w:font w:name="Segoe UI">
    <w:panose1 w:val="020B0502040204020203"/>
    <w:charset w:val="A2"/>
    <w:family w:val="swiss"/>
    <w:pitch w:val="variable"/>
    <w:sig w:usb0="E4002EFF" w:usb1="C000E47F" w:usb2="00000009" w:usb3="00000000" w:csb0="000001FF" w:csb1="00000000"/>
  </w:font>
  <w:font w:name="Ocean Sans Std Light">
    <w:altName w:val="Arial"/>
    <w:panose1 w:val="020B0406060508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D781C" w14:textId="77777777" w:rsidR="00F7114E" w:rsidRDefault="00F7114E" w:rsidP="00733875">
      <w:r>
        <w:separator/>
      </w:r>
    </w:p>
  </w:footnote>
  <w:footnote w:type="continuationSeparator" w:id="0">
    <w:p w14:paraId="45C70D79" w14:textId="77777777" w:rsidR="00F7114E" w:rsidRDefault="00F7114E" w:rsidP="00733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DD1C" w14:textId="77777777" w:rsidR="00C63929" w:rsidRPr="00927DF6" w:rsidRDefault="00C63929" w:rsidP="00927DF6">
    <w:pPr>
      <w:pStyle w:val="stBilgi"/>
      <w:rPr>
        <w:szCs w:val="18"/>
      </w:rPr>
    </w:pPr>
    <w:r w:rsidRPr="00927DF6">
      <w:rPr>
        <w:szCs w:val="18"/>
      </w:rPr>
      <w:tab/>
    </w:r>
  </w:p>
  <w:p w14:paraId="454372C2" w14:textId="77777777" w:rsidR="00C63929" w:rsidRPr="003F3972" w:rsidRDefault="00C63929" w:rsidP="002B1E23">
    <w:pPr>
      <w:pStyle w:val="stBilgi"/>
      <w:ind w:firstLine="0"/>
      <w:rPr>
        <w:rFonts w:ascii="Ocean Sans Std Light" w:hAnsi="Ocean Sans Std Light"/>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40D6C"/>
    <w:multiLevelType w:val="hybridMultilevel"/>
    <w:tmpl w:val="B2340F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A720D5F"/>
    <w:multiLevelType w:val="multilevel"/>
    <w:tmpl w:val="45F64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D9E3C4E"/>
    <w:multiLevelType w:val="hybridMultilevel"/>
    <w:tmpl w:val="2A20846A"/>
    <w:lvl w:ilvl="0" w:tplc="11E83B2A">
      <w:start w:val="1"/>
      <w:numFmt w:val="decimal"/>
      <w:lvlText w:val="%1."/>
      <w:lvlJc w:val="left"/>
      <w:pPr>
        <w:ind w:left="720" w:hanging="360"/>
      </w:pPr>
      <w:rPr>
        <w:rFonts w:hint="default"/>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FC20E38"/>
    <w:multiLevelType w:val="hybridMultilevel"/>
    <w:tmpl w:val="6004E12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75"/>
    <w:rsid w:val="00027A0E"/>
    <w:rsid w:val="000323F6"/>
    <w:rsid w:val="00043137"/>
    <w:rsid w:val="00047F5F"/>
    <w:rsid w:val="000531D8"/>
    <w:rsid w:val="000540C6"/>
    <w:rsid w:val="00071444"/>
    <w:rsid w:val="00084EC3"/>
    <w:rsid w:val="00087FB3"/>
    <w:rsid w:val="000946FF"/>
    <w:rsid w:val="000A3E35"/>
    <w:rsid w:val="000D4DDC"/>
    <w:rsid w:val="00112A67"/>
    <w:rsid w:val="00134021"/>
    <w:rsid w:val="001606B4"/>
    <w:rsid w:val="00177042"/>
    <w:rsid w:val="00197F96"/>
    <w:rsid w:val="001A6101"/>
    <w:rsid w:val="001B545C"/>
    <w:rsid w:val="001F0FC4"/>
    <w:rsid w:val="001F1B22"/>
    <w:rsid w:val="00252625"/>
    <w:rsid w:val="00261109"/>
    <w:rsid w:val="0026744C"/>
    <w:rsid w:val="002737C6"/>
    <w:rsid w:val="00274D21"/>
    <w:rsid w:val="002764A6"/>
    <w:rsid w:val="002A58C2"/>
    <w:rsid w:val="002A602C"/>
    <w:rsid w:val="002B1024"/>
    <w:rsid w:val="002B1E23"/>
    <w:rsid w:val="002D60CA"/>
    <w:rsid w:val="002E2DD7"/>
    <w:rsid w:val="0031262E"/>
    <w:rsid w:val="003626A4"/>
    <w:rsid w:val="00377E86"/>
    <w:rsid w:val="003B0884"/>
    <w:rsid w:val="003B3FBE"/>
    <w:rsid w:val="003D10CA"/>
    <w:rsid w:val="003E5A5B"/>
    <w:rsid w:val="003E68BD"/>
    <w:rsid w:val="003F3972"/>
    <w:rsid w:val="00414821"/>
    <w:rsid w:val="004179FB"/>
    <w:rsid w:val="00422898"/>
    <w:rsid w:val="004359E5"/>
    <w:rsid w:val="00440D66"/>
    <w:rsid w:val="00444389"/>
    <w:rsid w:val="00487823"/>
    <w:rsid w:val="004933C5"/>
    <w:rsid w:val="004A087C"/>
    <w:rsid w:val="004A6066"/>
    <w:rsid w:val="004D373B"/>
    <w:rsid w:val="00526BFB"/>
    <w:rsid w:val="0053489A"/>
    <w:rsid w:val="00554993"/>
    <w:rsid w:val="00565F11"/>
    <w:rsid w:val="00573870"/>
    <w:rsid w:val="005929CB"/>
    <w:rsid w:val="005C36E6"/>
    <w:rsid w:val="005C6D8D"/>
    <w:rsid w:val="005C72F2"/>
    <w:rsid w:val="005F3038"/>
    <w:rsid w:val="00604434"/>
    <w:rsid w:val="00611893"/>
    <w:rsid w:val="0063671B"/>
    <w:rsid w:val="006425DC"/>
    <w:rsid w:val="00686381"/>
    <w:rsid w:val="006E15F6"/>
    <w:rsid w:val="007029D3"/>
    <w:rsid w:val="00733875"/>
    <w:rsid w:val="007343CF"/>
    <w:rsid w:val="00734CA6"/>
    <w:rsid w:val="00757985"/>
    <w:rsid w:val="007A0FCE"/>
    <w:rsid w:val="007C4320"/>
    <w:rsid w:val="007D7AD0"/>
    <w:rsid w:val="007F220D"/>
    <w:rsid w:val="007F2F4C"/>
    <w:rsid w:val="00802AEA"/>
    <w:rsid w:val="00814D9E"/>
    <w:rsid w:val="00822BD7"/>
    <w:rsid w:val="00842DD4"/>
    <w:rsid w:val="00843D8A"/>
    <w:rsid w:val="00860694"/>
    <w:rsid w:val="00870731"/>
    <w:rsid w:val="00884FB7"/>
    <w:rsid w:val="00896D8F"/>
    <w:rsid w:val="00897EE8"/>
    <w:rsid w:val="008B4259"/>
    <w:rsid w:val="008B63DD"/>
    <w:rsid w:val="008C2598"/>
    <w:rsid w:val="008D35D6"/>
    <w:rsid w:val="008D369C"/>
    <w:rsid w:val="008F26B6"/>
    <w:rsid w:val="009020D6"/>
    <w:rsid w:val="009026A4"/>
    <w:rsid w:val="00916E18"/>
    <w:rsid w:val="00927DF6"/>
    <w:rsid w:val="00937646"/>
    <w:rsid w:val="00943572"/>
    <w:rsid w:val="00953E34"/>
    <w:rsid w:val="009541BE"/>
    <w:rsid w:val="00962124"/>
    <w:rsid w:val="00966EB4"/>
    <w:rsid w:val="009E7970"/>
    <w:rsid w:val="009F1EA3"/>
    <w:rsid w:val="00A061DB"/>
    <w:rsid w:val="00A07A49"/>
    <w:rsid w:val="00A13855"/>
    <w:rsid w:val="00A35EAF"/>
    <w:rsid w:val="00A42512"/>
    <w:rsid w:val="00A579B4"/>
    <w:rsid w:val="00A62E96"/>
    <w:rsid w:val="00AB2062"/>
    <w:rsid w:val="00B1307F"/>
    <w:rsid w:val="00B965BB"/>
    <w:rsid w:val="00BC5B57"/>
    <w:rsid w:val="00BD24E5"/>
    <w:rsid w:val="00BE68F6"/>
    <w:rsid w:val="00C0213F"/>
    <w:rsid w:val="00C02391"/>
    <w:rsid w:val="00C17D5E"/>
    <w:rsid w:val="00C20DD2"/>
    <w:rsid w:val="00C43676"/>
    <w:rsid w:val="00C452E9"/>
    <w:rsid w:val="00C63929"/>
    <w:rsid w:val="00C81A7C"/>
    <w:rsid w:val="00C855E3"/>
    <w:rsid w:val="00CA3041"/>
    <w:rsid w:val="00CB46F2"/>
    <w:rsid w:val="00CB49BD"/>
    <w:rsid w:val="00CD06D9"/>
    <w:rsid w:val="00CD280A"/>
    <w:rsid w:val="00CE4D9A"/>
    <w:rsid w:val="00CE4FDA"/>
    <w:rsid w:val="00D157F1"/>
    <w:rsid w:val="00D17FC7"/>
    <w:rsid w:val="00D220DC"/>
    <w:rsid w:val="00D35C37"/>
    <w:rsid w:val="00D550EB"/>
    <w:rsid w:val="00D715D9"/>
    <w:rsid w:val="00D9001D"/>
    <w:rsid w:val="00DB67AE"/>
    <w:rsid w:val="00DC48A9"/>
    <w:rsid w:val="00DE237B"/>
    <w:rsid w:val="00E06C08"/>
    <w:rsid w:val="00E10075"/>
    <w:rsid w:val="00E11DA6"/>
    <w:rsid w:val="00E15E99"/>
    <w:rsid w:val="00E4245F"/>
    <w:rsid w:val="00E53BDA"/>
    <w:rsid w:val="00E64454"/>
    <w:rsid w:val="00EC3A68"/>
    <w:rsid w:val="00EC65E8"/>
    <w:rsid w:val="00EE4BC0"/>
    <w:rsid w:val="00EE6311"/>
    <w:rsid w:val="00F00DC4"/>
    <w:rsid w:val="00F03697"/>
    <w:rsid w:val="00F105F1"/>
    <w:rsid w:val="00F1610E"/>
    <w:rsid w:val="00F2473B"/>
    <w:rsid w:val="00F25249"/>
    <w:rsid w:val="00F26B2B"/>
    <w:rsid w:val="00F52377"/>
    <w:rsid w:val="00F56C39"/>
    <w:rsid w:val="00F63879"/>
    <w:rsid w:val="00F7114E"/>
    <w:rsid w:val="00F870C3"/>
    <w:rsid w:val="00F90C4E"/>
    <w:rsid w:val="00FB17BE"/>
    <w:rsid w:val="00FC586F"/>
    <w:rsid w:val="00FF1861"/>
    <w:rsid w:val="00FF5B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7C2CC1"/>
  <w15:chartTrackingRefBased/>
  <w15:docId w15:val="{C61C4EEC-FBD1-43F2-B90E-415142D4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na metin"/>
    <w:qFormat/>
    <w:rsid w:val="00DB67AE"/>
    <w:pPr>
      <w:spacing w:after="0" w:line="240" w:lineRule="auto"/>
      <w:ind w:firstLine="227"/>
      <w:jc w:val="both"/>
    </w:pPr>
    <w:rPr>
      <w:rFonts w:ascii="Sitka Display" w:hAnsi="Sitka Display"/>
      <w:sz w:val="18"/>
    </w:rPr>
  </w:style>
  <w:style w:type="paragraph" w:styleId="Balk1">
    <w:name w:val="heading 1"/>
    <w:basedOn w:val="Normal"/>
    <w:next w:val="Normal"/>
    <w:link w:val="Balk1Char"/>
    <w:uiPriority w:val="9"/>
    <w:qFormat/>
    <w:rsid w:val="00D550EB"/>
    <w:pPr>
      <w:keepNext/>
      <w:keepLines/>
      <w:spacing w:before="120" w:after="120"/>
      <w:ind w:firstLine="0"/>
      <w:outlineLvl w:val="0"/>
    </w:pPr>
    <w:rPr>
      <w:rFonts w:eastAsiaTheme="majorEastAsia" w:cstheme="majorBidi"/>
      <w:b/>
      <w:sz w:val="20"/>
      <w:szCs w:val="32"/>
    </w:rPr>
  </w:style>
  <w:style w:type="paragraph" w:styleId="Balk2">
    <w:name w:val="heading 2"/>
    <w:basedOn w:val="Normal"/>
    <w:next w:val="Normal"/>
    <w:link w:val="Balk2Char"/>
    <w:uiPriority w:val="9"/>
    <w:unhideWhenUsed/>
    <w:qFormat/>
    <w:rsid w:val="00D17FC7"/>
    <w:pPr>
      <w:spacing w:before="120" w:after="120"/>
      <w:ind w:firstLine="0"/>
      <w:outlineLvl w:val="1"/>
    </w:pPr>
    <w:rPr>
      <w:rFonts w:cs="Nirmala UI Semilight"/>
      <w:i/>
      <w:szCs w:val="20"/>
    </w:rPr>
  </w:style>
  <w:style w:type="paragraph" w:styleId="Balk3">
    <w:name w:val="heading 3"/>
    <w:basedOn w:val="Normal"/>
    <w:next w:val="Normal"/>
    <w:link w:val="Balk3Char"/>
    <w:uiPriority w:val="9"/>
    <w:unhideWhenUsed/>
    <w:qFormat/>
    <w:rsid w:val="00D17FC7"/>
    <w:pPr>
      <w:keepNext/>
      <w:keepLines/>
      <w:spacing w:before="120" w:after="120"/>
      <w:ind w:firstLine="0"/>
      <w:outlineLvl w:val="2"/>
    </w:pPr>
    <w:rPr>
      <w:rFonts w:eastAsiaTheme="majorEastAsia" w:cstheme="majorBidi"/>
      <w:i/>
      <w:szCs w:val="24"/>
    </w:rPr>
  </w:style>
  <w:style w:type="paragraph" w:styleId="Balk4">
    <w:name w:val="heading 4"/>
    <w:aliases w:val="Tablo Şekil Grafik Başlığı"/>
    <w:basedOn w:val="Normal"/>
    <w:next w:val="Normal"/>
    <w:link w:val="Balk4Char"/>
    <w:uiPriority w:val="9"/>
    <w:unhideWhenUsed/>
    <w:qFormat/>
    <w:rsid w:val="00814D9E"/>
    <w:pPr>
      <w:keepNext/>
      <w:keepLines/>
      <w:spacing w:before="120"/>
      <w:ind w:firstLine="0"/>
      <w:outlineLvl w:val="3"/>
    </w:pPr>
    <w:rPr>
      <w:rFonts w:eastAsiaTheme="majorEastAsia" w:cstheme="majorBidi"/>
      <w:b/>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33875"/>
    <w:pPr>
      <w:tabs>
        <w:tab w:val="center" w:pos="4536"/>
        <w:tab w:val="right" w:pos="9072"/>
      </w:tabs>
    </w:pPr>
  </w:style>
  <w:style w:type="character" w:customStyle="1" w:styleId="stBilgiChar">
    <w:name w:val="Üst Bilgi Char"/>
    <w:basedOn w:val="VarsaylanParagrafYazTipi"/>
    <w:link w:val="stBilgi"/>
    <w:uiPriority w:val="99"/>
    <w:rsid w:val="00733875"/>
  </w:style>
  <w:style w:type="paragraph" w:styleId="AltBilgi">
    <w:name w:val="footer"/>
    <w:basedOn w:val="Normal"/>
    <w:link w:val="AltBilgiChar"/>
    <w:uiPriority w:val="99"/>
    <w:unhideWhenUsed/>
    <w:rsid w:val="00733875"/>
    <w:pPr>
      <w:tabs>
        <w:tab w:val="center" w:pos="4536"/>
        <w:tab w:val="right" w:pos="9072"/>
      </w:tabs>
    </w:pPr>
  </w:style>
  <w:style w:type="character" w:customStyle="1" w:styleId="AltBilgiChar">
    <w:name w:val="Alt Bilgi Char"/>
    <w:basedOn w:val="VarsaylanParagrafYazTipi"/>
    <w:link w:val="AltBilgi"/>
    <w:uiPriority w:val="99"/>
    <w:rsid w:val="00733875"/>
  </w:style>
  <w:style w:type="table" w:styleId="TabloKlavuzu">
    <w:name w:val="Table Grid"/>
    <w:basedOn w:val="NormalTablo"/>
    <w:uiPriority w:val="39"/>
    <w:rsid w:val="00733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D10CA"/>
    <w:rPr>
      <w:color w:val="0563C1" w:themeColor="hyperlink"/>
      <w:u w:val="single"/>
    </w:rPr>
  </w:style>
  <w:style w:type="paragraph" w:styleId="DipnotMetni">
    <w:name w:val="footnote text"/>
    <w:basedOn w:val="Normal"/>
    <w:link w:val="DipnotMetniChar"/>
    <w:uiPriority w:val="99"/>
    <w:semiHidden/>
    <w:unhideWhenUsed/>
    <w:rsid w:val="009F1EA3"/>
    <w:rPr>
      <w:rFonts w:ascii="Times New Roman" w:hAnsi="Times New Roman"/>
      <w:sz w:val="20"/>
      <w:szCs w:val="20"/>
    </w:rPr>
  </w:style>
  <w:style w:type="character" w:customStyle="1" w:styleId="DipnotMetniChar">
    <w:name w:val="Dipnot Metni Char"/>
    <w:basedOn w:val="VarsaylanParagrafYazTipi"/>
    <w:link w:val="DipnotMetni"/>
    <w:uiPriority w:val="99"/>
    <w:semiHidden/>
    <w:rsid w:val="009F1EA3"/>
    <w:rPr>
      <w:rFonts w:ascii="Times New Roman" w:hAnsi="Times New Roman"/>
      <w:sz w:val="20"/>
      <w:szCs w:val="20"/>
    </w:rPr>
  </w:style>
  <w:style w:type="character" w:styleId="DipnotBavurusu">
    <w:name w:val="footnote reference"/>
    <w:basedOn w:val="VarsaylanParagrafYazTipi"/>
    <w:uiPriority w:val="99"/>
    <w:semiHidden/>
    <w:unhideWhenUsed/>
    <w:rsid w:val="009F1EA3"/>
    <w:rPr>
      <w:vertAlign w:val="superscript"/>
    </w:rPr>
  </w:style>
  <w:style w:type="paragraph" w:styleId="ListeParagraf">
    <w:name w:val="List Paragraph"/>
    <w:basedOn w:val="Normal"/>
    <w:uiPriority w:val="34"/>
    <w:qFormat/>
    <w:rsid w:val="009F1EA3"/>
    <w:pPr>
      <w:ind w:left="720"/>
      <w:contextualSpacing/>
    </w:pPr>
  </w:style>
  <w:style w:type="character" w:customStyle="1" w:styleId="Balk1Char">
    <w:name w:val="Başlık 1 Char"/>
    <w:basedOn w:val="VarsaylanParagrafYazTipi"/>
    <w:link w:val="Balk1"/>
    <w:uiPriority w:val="9"/>
    <w:rsid w:val="00D550EB"/>
    <w:rPr>
      <w:rFonts w:ascii="Sitka Display" w:eastAsiaTheme="majorEastAsia" w:hAnsi="Sitka Display" w:cstheme="majorBidi"/>
      <w:b/>
      <w:sz w:val="20"/>
      <w:szCs w:val="32"/>
    </w:rPr>
  </w:style>
  <w:style w:type="character" w:customStyle="1" w:styleId="Balk2Char">
    <w:name w:val="Başlık 2 Char"/>
    <w:basedOn w:val="VarsaylanParagrafYazTipi"/>
    <w:link w:val="Balk2"/>
    <w:uiPriority w:val="9"/>
    <w:rsid w:val="00D17FC7"/>
    <w:rPr>
      <w:rFonts w:ascii="Sitka Display" w:hAnsi="Sitka Display" w:cs="Nirmala UI Semilight"/>
      <w:i/>
      <w:sz w:val="18"/>
      <w:szCs w:val="20"/>
    </w:rPr>
  </w:style>
  <w:style w:type="character" w:customStyle="1" w:styleId="Balk3Char">
    <w:name w:val="Başlık 3 Char"/>
    <w:basedOn w:val="VarsaylanParagrafYazTipi"/>
    <w:link w:val="Balk3"/>
    <w:uiPriority w:val="9"/>
    <w:rsid w:val="00D17FC7"/>
    <w:rPr>
      <w:rFonts w:ascii="Sitka Display" w:eastAsiaTheme="majorEastAsia" w:hAnsi="Sitka Display" w:cstheme="majorBidi"/>
      <w:i/>
      <w:sz w:val="18"/>
      <w:szCs w:val="24"/>
    </w:rPr>
  </w:style>
  <w:style w:type="character" w:customStyle="1" w:styleId="Balk4Char">
    <w:name w:val="Başlık 4 Char"/>
    <w:aliases w:val="Tablo Şekil Grafik Başlığı Char"/>
    <w:basedOn w:val="VarsaylanParagrafYazTipi"/>
    <w:link w:val="Balk4"/>
    <w:uiPriority w:val="9"/>
    <w:rsid w:val="00814D9E"/>
    <w:rPr>
      <w:rFonts w:ascii="Sitka Display" w:eastAsiaTheme="majorEastAsia" w:hAnsi="Sitka Display" w:cstheme="majorBidi"/>
      <w:b/>
      <w:iCs/>
      <w:sz w:val="18"/>
    </w:rPr>
  </w:style>
  <w:style w:type="paragraph" w:styleId="KonuBal">
    <w:name w:val="Title"/>
    <w:aliases w:val="Tablo Şekil Grafik Adı"/>
    <w:basedOn w:val="Normal"/>
    <w:next w:val="Normal"/>
    <w:link w:val="KonuBalChar"/>
    <w:uiPriority w:val="10"/>
    <w:qFormat/>
    <w:rsid w:val="00814D9E"/>
    <w:pPr>
      <w:spacing w:after="60"/>
      <w:ind w:firstLine="0"/>
      <w:contextualSpacing/>
    </w:pPr>
    <w:rPr>
      <w:rFonts w:eastAsiaTheme="majorEastAsia" w:cstheme="majorBidi"/>
      <w:kern w:val="28"/>
      <w:szCs w:val="56"/>
    </w:rPr>
  </w:style>
  <w:style w:type="character" w:customStyle="1" w:styleId="KonuBalChar">
    <w:name w:val="Konu Başlığı Char"/>
    <w:aliases w:val="Tablo Şekil Grafik Adı Char"/>
    <w:basedOn w:val="VarsaylanParagrafYazTipi"/>
    <w:link w:val="KonuBal"/>
    <w:uiPriority w:val="10"/>
    <w:rsid w:val="00814D9E"/>
    <w:rPr>
      <w:rFonts w:ascii="Sitka Display" w:eastAsiaTheme="majorEastAsia" w:hAnsi="Sitka Display" w:cstheme="majorBidi"/>
      <w:kern w:val="28"/>
      <w:sz w:val="18"/>
      <w:szCs w:val="56"/>
    </w:rPr>
  </w:style>
  <w:style w:type="paragraph" w:styleId="Altyaz">
    <w:name w:val="Subtitle"/>
    <w:aliases w:val="Kaynakça"/>
    <w:basedOn w:val="Normal"/>
    <w:next w:val="Normal"/>
    <w:link w:val="AltyazChar"/>
    <w:uiPriority w:val="11"/>
    <w:qFormat/>
    <w:rsid w:val="00CA3041"/>
    <w:pPr>
      <w:numPr>
        <w:ilvl w:val="1"/>
      </w:numPr>
      <w:ind w:left="227" w:hanging="227"/>
    </w:pPr>
    <w:rPr>
      <w:rFonts w:eastAsiaTheme="minorEastAsia"/>
      <w:sz w:val="16"/>
    </w:rPr>
  </w:style>
  <w:style w:type="character" w:customStyle="1" w:styleId="AltyazChar">
    <w:name w:val="Altyazı Char"/>
    <w:aliases w:val="Kaynakça Char"/>
    <w:basedOn w:val="VarsaylanParagrafYazTipi"/>
    <w:link w:val="Altyaz"/>
    <w:uiPriority w:val="11"/>
    <w:rsid w:val="00CA3041"/>
    <w:rPr>
      <w:rFonts w:ascii="Sitka Display" w:eastAsiaTheme="minorEastAsia" w:hAnsi="Sitka Display"/>
      <w:sz w:val="16"/>
    </w:rPr>
  </w:style>
  <w:style w:type="paragraph" w:customStyle="1" w:styleId="zet">
    <w:name w:val="Özet"/>
    <w:basedOn w:val="Normal"/>
    <w:link w:val="zetChar"/>
    <w:qFormat/>
    <w:rsid w:val="00CA3041"/>
    <w:pPr>
      <w:ind w:firstLine="0"/>
    </w:pPr>
    <w:rPr>
      <w:rFonts w:eastAsiaTheme="majorEastAsia" w:cs="Calibri"/>
      <w:color w:val="000000" w:themeColor="text1"/>
      <w:sz w:val="16"/>
      <w:szCs w:val="16"/>
    </w:rPr>
  </w:style>
  <w:style w:type="paragraph" w:customStyle="1" w:styleId="TrkeBalk">
    <w:name w:val="Türkçe Başlık"/>
    <w:basedOn w:val="Normal"/>
    <w:link w:val="TrkeBalkChar"/>
    <w:qFormat/>
    <w:rsid w:val="002B1E23"/>
    <w:pPr>
      <w:spacing w:after="120"/>
      <w:ind w:firstLine="0"/>
    </w:pPr>
    <w:rPr>
      <w:rFonts w:eastAsiaTheme="majorEastAsia" w:cstheme="majorBidi"/>
      <w:sz w:val="28"/>
      <w:szCs w:val="28"/>
    </w:rPr>
  </w:style>
  <w:style w:type="character" w:customStyle="1" w:styleId="zetChar">
    <w:name w:val="Özet Char"/>
    <w:basedOn w:val="VarsaylanParagrafYazTipi"/>
    <w:link w:val="zet"/>
    <w:rsid w:val="00CA3041"/>
    <w:rPr>
      <w:rFonts w:ascii="Sitka Display" w:eastAsiaTheme="majorEastAsia" w:hAnsi="Sitka Display" w:cs="Calibri"/>
      <w:color w:val="000000" w:themeColor="text1"/>
      <w:sz w:val="16"/>
      <w:szCs w:val="16"/>
    </w:rPr>
  </w:style>
  <w:style w:type="paragraph" w:customStyle="1" w:styleId="ngilizceBalk">
    <w:name w:val="İngilizce Başlık"/>
    <w:basedOn w:val="Normal"/>
    <w:link w:val="ngilizceBalkChar"/>
    <w:qFormat/>
    <w:rsid w:val="002B1E23"/>
    <w:pPr>
      <w:ind w:firstLine="0"/>
    </w:pPr>
    <w:rPr>
      <w:rFonts w:eastAsiaTheme="majorEastAsia" w:cstheme="majorBidi"/>
      <w:i/>
      <w:sz w:val="24"/>
      <w:szCs w:val="24"/>
    </w:rPr>
  </w:style>
  <w:style w:type="character" w:customStyle="1" w:styleId="TrkeBalkChar">
    <w:name w:val="Türkçe Başlık Char"/>
    <w:basedOn w:val="VarsaylanParagrafYazTipi"/>
    <w:link w:val="TrkeBalk"/>
    <w:rsid w:val="002B1E23"/>
    <w:rPr>
      <w:rFonts w:ascii="Sitka Display" w:eastAsiaTheme="majorEastAsia" w:hAnsi="Sitka Display" w:cstheme="majorBidi"/>
      <w:sz w:val="28"/>
      <w:szCs w:val="28"/>
    </w:rPr>
  </w:style>
  <w:style w:type="character" w:customStyle="1" w:styleId="ngilizceBalkChar">
    <w:name w:val="İngilizce Başlık Char"/>
    <w:basedOn w:val="VarsaylanParagrafYazTipi"/>
    <w:link w:val="ngilizceBalk"/>
    <w:rsid w:val="002B1E23"/>
    <w:rPr>
      <w:rFonts w:ascii="Sitka Display" w:eastAsiaTheme="majorEastAsia" w:hAnsi="Sitka Display" w:cstheme="majorBidi"/>
      <w:i/>
      <w:sz w:val="24"/>
      <w:szCs w:val="24"/>
    </w:rPr>
  </w:style>
  <w:style w:type="character" w:styleId="AklamaBavurusu">
    <w:name w:val="annotation reference"/>
    <w:basedOn w:val="VarsaylanParagrafYazTipi"/>
    <w:uiPriority w:val="99"/>
    <w:semiHidden/>
    <w:unhideWhenUsed/>
    <w:rsid w:val="00757985"/>
    <w:rPr>
      <w:sz w:val="16"/>
      <w:szCs w:val="16"/>
    </w:rPr>
  </w:style>
  <w:style w:type="paragraph" w:styleId="AklamaMetni">
    <w:name w:val="annotation text"/>
    <w:basedOn w:val="Normal"/>
    <w:link w:val="AklamaMetniChar"/>
    <w:uiPriority w:val="99"/>
    <w:semiHidden/>
    <w:unhideWhenUsed/>
    <w:rsid w:val="00757985"/>
    <w:rPr>
      <w:sz w:val="20"/>
      <w:szCs w:val="20"/>
    </w:rPr>
  </w:style>
  <w:style w:type="character" w:customStyle="1" w:styleId="AklamaMetniChar">
    <w:name w:val="Açıklama Metni Char"/>
    <w:basedOn w:val="VarsaylanParagrafYazTipi"/>
    <w:link w:val="AklamaMetni"/>
    <w:uiPriority w:val="99"/>
    <w:semiHidden/>
    <w:rsid w:val="00757985"/>
    <w:rPr>
      <w:rFonts w:ascii="Sitka Display" w:hAnsi="Sitka Display"/>
      <w:sz w:val="20"/>
      <w:szCs w:val="20"/>
    </w:rPr>
  </w:style>
  <w:style w:type="paragraph" w:styleId="AklamaKonusu">
    <w:name w:val="annotation subject"/>
    <w:basedOn w:val="AklamaMetni"/>
    <w:next w:val="AklamaMetni"/>
    <w:link w:val="AklamaKonusuChar"/>
    <w:uiPriority w:val="99"/>
    <w:semiHidden/>
    <w:unhideWhenUsed/>
    <w:rsid w:val="00757985"/>
    <w:rPr>
      <w:b/>
      <w:bCs/>
    </w:rPr>
  </w:style>
  <w:style w:type="character" w:customStyle="1" w:styleId="AklamaKonusuChar">
    <w:name w:val="Açıklama Konusu Char"/>
    <w:basedOn w:val="AklamaMetniChar"/>
    <w:link w:val="AklamaKonusu"/>
    <w:uiPriority w:val="99"/>
    <w:semiHidden/>
    <w:rsid w:val="00757985"/>
    <w:rPr>
      <w:rFonts w:ascii="Sitka Display" w:hAnsi="Sitka Display"/>
      <w:b/>
      <w:bCs/>
      <w:sz w:val="20"/>
      <w:szCs w:val="20"/>
    </w:rPr>
  </w:style>
  <w:style w:type="paragraph" w:styleId="BalonMetni">
    <w:name w:val="Balloon Text"/>
    <w:basedOn w:val="Normal"/>
    <w:link w:val="BalonMetniChar"/>
    <w:uiPriority w:val="99"/>
    <w:semiHidden/>
    <w:unhideWhenUsed/>
    <w:rsid w:val="00757985"/>
    <w:rPr>
      <w:rFonts w:ascii="Segoe UI" w:hAnsi="Segoe UI" w:cs="Segoe UI"/>
      <w:szCs w:val="18"/>
    </w:rPr>
  </w:style>
  <w:style w:type="character" w:customStyle="1" w:styleId="BalonMetniChar">
    <w:name w:val="Balon Metni Char"/>
    <w:basedOn w:val="VarsaylanParagrafYazTipi"/>
    <w:link w:val="BalonMetni"/>
    <w:uiPriority w:val="99"/>
    <w:semiHidden/>
    <w:rsid w:val="007579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97734">
      <w:bodyDiv w:val="1"/>
      <w:marLeft w:val="0"/>
      <w:marRight w:val="0"/>
      <w:marTop w:val="0"/>
      <w:marBottom w:val="0"/>
      <w:divBdr>
        <w:top w:val="none" w:sz="0" w:space="0" w:color="auto"/>
        <w:left w:val="none" w:sz="0" w:space="0" w:color="auto"/>
        <w:bottom w:val="none" w:sz="0" w:space="0" w:color="auto"/>
        <w:right w:val="none" w:sz="0" w:space="0" w:color="auto"/>
      </w:divBdr>
    </w:div>
    <w:div w:id="673726334">
      <w:bodyDiv w:val="1"/>
      <w:marLeft w:val="0"/>
      <w:marRight w:val="0"/>
      <w:marTop w:val="0"/>
      <w:marBottom w:val="0"/>
      <w:divBdr>
        <w:top w:val="none" w:sz="0" w:space="0" w:color="auto"/>
        <w:left w:val="none" w:sz="0" w:space="0" w:color="auto"/>
        <w:bottom w:val="none" w:sz="0" w:space="0" w:color="auto"/>
        <w:right w:val="none" w:sz="0" w:space="0" w:color="auto"/>
      </w:divBdr>
    </w:div>
    <w:div w:id="75019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ualcitizeninc.com/global-green-economy-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astyle.ap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dp.org/content/undp/en/home/librarypage/environment-energy/sgp/blue-economy--community-solution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raserinstitute.org/economic-freedom/dataset?geozone=world&amp;year=2018&amp;page=dataset&amp;min-year=2&amp;max-year=0&amp;filter=0" TargetMode="External"/><Relationship Id="rId4" Type="http://schemas.openxmlformats.org/officeDocument/2006/relationships/settings" Target="settings.xml"/><Relationship Id="rId9" Type="http://schemas.openxmlformats.org/officeDocument/2006/relationships/hyperlink" Target="https://www.tuik.gov.tr/jsp/duyuru/upload/FR-2011.pdf"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Sch12</b:Tag>
    <b:SourceType>Misc</b:SourceType>
    <b:Guid>{E2D36DEE-E5CF-4013-ADE7-DC31F5DDF7FD}</b:Guid>
    <b:Title>The theory of conomic development</b:Title>
    <b:Year>1912</b:Year>
    <b:City>Cambridge</b:City>
    <b:Publisher>Harvard University Press</b:Publisher>
    <b:Author>
      <b:Author>
        <b:NameList>
          <b:Person>
            <b:Last>Schumpeter</b:Last>
            <b:First>Joseph</b:First>
            <b:Middle>Alois</b:Middle>
          </b:Person>
        </b:NameList>
      </b:Author>
      <b:Translator>
        <b:NameList>
          <b:Person>
            <b:Last>Opie</b:Last>
            <b:First> Redvers </b:First>
          </b:Person>
        </b:NameList>
      </b:Translator>
    </b:Author>
    <b:CountryRegion>USA</b:CountryRegion>
    <b:RefOrder>1</b:RefOrder>
  </b:Source>
</b:Sources>
</file>

<file path=customXml/itemProps1.xml><?xml version="1.0" encoding="utf-8"?>
<ds:datastoreItem xmlns:ds="http://schemas.openxmlformats.org/officeDocument/2006/customXml" ds:itemID="{ABFDC49B-310A-4A2E-8FC1-8F4C88CC3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2398</TotalTime>
  <Pages>3</Pages>
  <Words>1671</Words>
  <Characters>10477</Characters>
  <Application>Microsoft Office Word</Application>
  <DocSecurity>0</DocSecurity>
  <Lines>283</Lines>
  <Paragraphs>159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Fatih Yeter</cp:lastModifiedBy>
  <cp:revision>81</cp:revision>
  <cp:lastPrinted>2021-08-15T19:15:00Z</cp:lastPrinted>
  <dcterms:created xsi:type="dcterms:W3CDTF">2021-06-16T00:13:00Z</dcterms:created>
  <dcterms:modified xsi:type="dcterms:W3CDTF">2024-07-07T14:38:00Z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c9e2f3f9878e152d020e1ae5a070764de77af4a5ec6382e051f533af5cba60a7</vt:lpwstr>
  </property>
</Properties>
</file>